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821D9" w14:textId="542B49CE" w:rsidR="00025D1B" w:rsidRPr="00A259A4" w:rsidRDefault="00390835" w:rsidP="009B203C">
      <w:pPr>
        <w:pStyle w:val="IAHRheader"/>
      </w:pPr>
      <w:r>
        <w:rPr>
          <w:noProof/>
          <w:lang w:eastAsia="en-GB"/>
        </w:rPr>
        <w:drawing>
          <wp:inline distT="0" distB="0" distL="0" distR="0" wp14:anchorId="11EAB788" wp14:editId="7FF8FA6E">
            <wp:extent cx="2000250" cy="857250"/>
            <wp:effectExtent l="0" t="0" r="0" b="0"/>
            <wp:docPr id="1066724325" name="Picture 1" descr="A picture containing graphics, graphic design, fon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24325" name="Picture 1" descr="A picture containing graphics, graphic design, font, colorfulnes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0" cy="857250"/>
                    </a:xfrm>
                    <a:prstGeom prst="rect">
                      <a:avLst/>
                    </a:prstGeom>
                    <a:noFill/>
                    <a:ln>
                      <a:noFill/>
                    </a:ln>
                  </pic:spPr>
                </pic:pic>
              </a:graphicData>
            </a:graphic>
          </wp:inline>
        </w:drawing>
      </w:r>
      <w:r w:rsidRPr="000302E3">
        <w:t xml:space="preserve"> </w:t>
      </w:r>
    </w:p>
    <w:p w14:paraId="6EA7420B" w14:textId="54975402" w:rsidR="00025D1B" w:rsidRPr="00A259A4" w:rsidRDefault="00D01409" w:rsidP="004D087A">
      <w:pPr>
        <w:pStyle w:val="IAHRtitle"/>
      </w:pPr>
      <w:r>
        <w:t>Addressing class imbalance problems in data-driven rainfall-runoff modelling</w:t>
      </w:r>
    </w:p>
    <w:p w14:paraId="219D9363" w14:textId="5F523F52" w:rsidR="00025D1B" w:rsidRPr="00646899" w:rsidRDefault="00D01409" w:rsidP="007A13C1">
      <w:pPr>
        <w:pStyle w:val="IAHRauthor"/>
        <w:rPr>
          <w:vertAlign w:val="superscript"/>
        </w:rPr>
      </w:pPr>
      <w:r>
        <w:t>Federico</w:t>
      </w:r>
      <w:r w:rsidR="00025D1B" w:rsidRPr="00383860">
        <w:t xml:space="preserve"> </w:t>
      </w:r>
      <w:r>
        <w:t>VILASECA</w:t>
      </w:r>
      <w:r w:rsidR="00025D1B" w:rsidRPr="00A30BBA">
        <w:rPr>
          <w:vertAlign w:val="superscript"/>
        </w:rPr>
        <w:t>1</w:t>
      </w:r>
      <w:r w:rsidR="00A30BBA">
        <w:t>,</w:t>
      </w:r>
      <w:r w:rsidR="00646899">
        <w:t xml:space="preserve"> Christian</w:t>
      </w:r>
      <w:r w:rsidR="00646899" w:rsidRPr="00383860">
        <w:t xml:space="preserve"> </w:t>
      </w:r>
      <w:r w:rsidR="00646899">
        <w:t>CHRETIES</w:t>
      </w:r>
      <w:r w:rsidR="00646899" w:rsidRPr="00A30BBA">
        <w:rPr>
          <w:vertAlign w:val="superscript"/>
        </w:rPr>
        <w:t>1</w:t>
      </w:r>
      <w:r w:rsidR="00646899">
        <w:t>,</w:t>
      </w:r>
      <w:r w:rsidR="00A30BBA">
        <w:t xml:space="preserve"> </w:t>
      </w:r>
      <w:r w:rsidR="00646899">
        <w:t>Alberto</w:t>
      </w:r>
      <w:r w:rsidR="00A30BBA">
        <w:t xml:space="preserve"> </w:t>
      </w:r>
      <w:r w:rsidR="00646899">
        <w:t>CASTRO</w:t>
      </w:r>
      <w:r w:rsidR="00025D1B" w:rsidRPr="00A30BBA">
        <w:rPr>
          <w:vertAlign w:val="superscript"/>
        </w:rPr>
        <w:t>2</w:t>
      </w:r>
      <w:r w:rsidR="00646899">
        <w:rPr>
          <w:vertAlign w:val="superscript"/>
        </w:rPr>
        <w:t>,3</w:t>
      </w:r>
      <w:r w:rsidR="00025D1B" w:rsidRPr="00383860">
        <w:t xml:space="preserve"> </w:t>
      </w:r>
      <w:r w:rsidR="00646899">
        <w:t>and Angela GORGOGLIONE</w:t>
      </w:r>
      <w:r w:rsidR="00646899">
        <w:rPr>
          <w:vertAlign w:val="superscript"/>
        </w:rPr>
        <w:t>1</w:t>
      </w:r>
    </w:p>
    <w:p w14:paraId="49190DCF" w14:textId="77777777" w:rsidR="00681AE6" w:rsidRPr="004B2365" w:rsidRDefault="00681AE6" w:rsidP="00681AE6">
      <w:pPr>
        <w:pStyle w:val="IAHRaffiliation"/>
        <w:spacing w:before="120"/>
      </w:pPr>
      <w:r w:rsidRPr="00A30BBA">
        <w:rPr>
          <w:vertAlign w:val="superscript"/>
        </w:rPr>
        <w:t>1</w:t>
      </w:r>
      <w:r w:rsidRPr="006B55B5">
        <w:t xml:space="preserve"> </w:t>
      </w:r>
      <w:r>
        <w:t>Institute of Fluid Mechanics and Environmental Engineering (IMFIA), Universidad de la República, Uruguay</w:t>
      </w:r>
    </w:p>
    <w:p w14:paraId="61339BA2" w14:textId="77777777" w:rsidR="00681AE6" w:rsidRPr="00A8307F" w:rsidRDefault="00681AE6" w:rsidP="00681AE6">
      <w:pPr>
        <w:pStyle w:val="IAHRaffiliation"/>
        <w:rPr>
          <w:lang w:val="es-ES"/>
        </w:rPr>
      </w:pPr>
      <w:r w:rsidRPr="00A8307F">
        <w:rPr>
          <w:vertAlign w:val="superscript"/>
          <w:lang w:val="es-ES"/>
        </w:rPr>
        <w:t>2</w:t>
      </w:r>
      <w:r w:rsidRPr="00A8307F">
        <w:rPr>
          <w:lang w:val="es-ES"/>
        </w:rPr>
        <w:t xml:space="preserve"> </w:t>
      </w:r>
      <w:proofErr w:type="spellStart"/>
      <w:r w:rsidRPr="00A8307F">
        <w:rPr>
          <w:lang w:val="es-ES"/>
        </w:rPr>
        <w:t>Institute</w:t>
      </w:r>
      <w:proofErr w:type="spellEnd"/>
      <w:r w:rsidRPr="00A8307F">
        <w:rPr>
          <w:lang w:val="es-ES"/>
        </w:rPr>
        <w:t xml:space="preserve"> </w:t>
      </w:r>
      <w:proofErr w:type="spellStart"/>
      <w:r w:rsidRPr="00A8307F">
        <w:rPr>
          <w:lang w:val="es-ES"/>
        </w:rPr>
        <w:t>of</w:t>
      </w:r>
      <w:proofErr w:type="spellEnd"/>
      <w:r w:rsidRPr="00A8307F">
        <w:rPr>
          <w:lang w:val="es-ES"/>
        </w:rPr>
        <w:t xml:space="preserve"> </w:t>
      </w:r>
      <w:proofErr w:type="spellStart"/>
      <w:r w:rsidRPr="00A8307F">
        <w:rPr>
          <w:lang w:val="es-ES"/>
        </w:rPr>
        <w:t>Computer</w:t>
      </w:r>
      <w:proofErr w:type="spellEnd"/>
      <w:r w:rsidRPr="00A8307F">
        <w:rPr>
          <w:lang w:val="es-ES"/>
        </w:rPr>
        <w:t xml:space="preserve"> </w:t>
      </w:r>
      <w:proofErr w:type="spellStart"/>
      <w:r w:rsidRPr="00A8307F">
        <w:rPr>
          <w:lang w:val="es-ES"/>
        </w:rPr>
        <w:t>Science</w:t>
      </w:r>
      <w:proofErr w:type="spellEnd"/>
      <w:r w:rsidRPr="00A8307F">
        <w:rPr>
          <w:lang w:val="es-ES"/>
        </w:rPr>
        <w:t xml:space="preserve"> (INCO), Universidad de la República, Uruguay</w:t>
      </w:r>
    </w:p>
    <w:p w14:paraId="13E6831A" w14:textId="77777777" w:rsidR="00681AE6" w:rsidRPr="00681AE6" w:rsidRDefault="00681AE6" w:rsidP="00681AE6">
      <w:pPr>
        <w:pStyle w:val="IAHRaffiliation"/>
        <w:rPr>
          <w:lang w:val="en-US"/>
        </w:rPr>
      </w:pPr>
      <w:r w:rsidRPr="00681AE6">
        <w:rPr>
          <w:vertAlign w:val="superscript"/>
          <w:lang w:val="en-US"/>
        </w:rPr>
        <w:t>3</w:t>
      </w:r>
      <w:r w:rsidRPr="00681AE6">
        <w:rPr>
          <w:lang w:val="en-US"/>
        </w:rPr>
        <w:t xml:space="preserve"> Institute of Electrical Engineering (IIE), Universidad de la República, Uruguay</w:t>
      </w:r>
    </w:p>
    <w:p w14:paraId="75E1409C" w14:textId="68BDEDAC" w:rsidR="00025D1B" w:rsidRPr="006B55B5" w:rsidRDefault="00025D1B" w:rsidP="00CF7F11">
      <w:pPr>
        <w:pStyle w:val="IAHRaddress"/>
      </w:pPr>
      <w:r w:rsidRPr="006B55B5">
        <w:t xml:space="preserve">email: </w:t>
      </w:r>
      <w:hyperlink r:id="rId6" w:history="1">
        <w:r w:rsidR="00C77D32" w:rsidRPr="009F2741">
          <w:rPr>
            <w:rStyle w:val="Hipervnculo"/>
            <w:lang w:val="en-US"/>
          </w:rPr>
          <w:t>fvilaseca@fing.edu.uy</w:t>
        </w:r>
      </w:hyperlink>
    </w:p>
    <w:p w14:paraId="1C4A2CB5" w14:textId="77777777" w:rsidR="00025D1B" w:rsidRPr="0018149D" w:rsidRDefault="00025D1B" w:rsidP="00850EB6">
      <w:pPr>
        <w:pStyle w:val="IAHRabstract"/>
      </w:pPr>
      <w:r w:rsidRPr="0018149D">
        <w:t>Abstract</w:t>
      </w:r>
    </w:p>
    <w:p w14:paraId="246AB4DC" w14:textId="5C20F7D8" w:rsidR="00025D1B" w:rsidRPr="00E07CDC" w:rsidRDefault="0070115F" w:rsidP="00DC554A">
      <w:pPr>
        <w:pStyle w:val="IAHRtext"/>
      </w:pPr>
      <w:r w:rsidRPr="0070115F">
        <w:t xml:space="preserve">This paper proposes a methodology based on data augmentation to improve the performance of data-driven </w:t>
      </w:r>
      <w:r w:rsidR="00A71ED4">
        <w:t>hydrological</w:t>
      </w:r>
      <w:r w:rsidRPr="0070115F">
        <w:t xml:space="preserve"> models on high flows. Problems in the representation of such range of discharges by data-driven models were </w:t>
      </w:r>
      <w:r w:rsidR="00597908">
        <w:t>observed</w:t>
      </w:r>
      <w:r w:rsidRPr="0070115F">
        <w:t xml:space="preserve"> in previous research, which the authors of this work attribute to </w:t>
      </w:r>
      <w:r w:rsidR="00F1454F">
        <w:t xml:space="preserve">the shortage of </w:t>
      </w:r>
      <w:r w:rsidR="009A5DE9">
        <w:t>high-</w:t>
      </w:r>
      <w:r w:rsidR="00F1454F">
        <w:t>flow observations in the training data</w:t>
      </w:r>
      <w:r w:rsidR="00D0440E">
        <w:t>.</w:t>
      </w:r>
      <w:r w:rsidR="000B409D">
        <w:t xml:space="preserve"> </w:t>
      </w:r>
      <w:r w:rsidR="00D0440E">
        <w:t>This</w:t>
      </w:r>
      <w:r w:rsidR="000B409D">
        <w:t xml:space="preserve"> creates an imbalance problem that </w:t>
      </w:r>
      <w:r w:rsidR="009A5DE9">
        <w:t>biases</w:t>
      </w:r>
      <w:r w:rsidR="000B409D">
        <w:t xml:space="preserve"> the learning process</w:t>
      </w:r>
      <w:r w:rsidR="009C3D38">
        <w:t xml:space="preserve"> </w:t>
      </w:r>
      <w:r w:rsidR="000B409D">
        <w:t>towards the representation of low flows.</w:t>
      </w:r>
      <w:r w:rsidR="00E07CDC">
        <w:t xml:space="preserve"> </w:t>
      </w:r>
      <w:r w:rsidRPr="0070115F">
        <w:t>The proposed methodology was tested for</w:t>
      </w:r>
      <w:r w:rsidR="00E07CDC">
        <w:t xml:space="preserve"> </w:t>
      </w:r>
      <w:r w:rsidR="00006B6E">
        <w:t>models generated with</w:t>
      </w:r>
      <w:r w:rsidR="003F6B23">
        <w:t xml:space="preserve"> the</w:t>
      </w:r>
      <w:r w:rsidR="00006B6E">
        <w:t xml:space="preserve"> </w:t>
      </w:r>
      <w:r w:rsidR="00105FED">
        <w:t>Random Forest</w:t>
      </w:r>
      <w:r w:rsidR="003F6B23">
        <w:t xml:space="preserve"> machine learning algorithm</w:t>
      </w:r>
      <w:r w:rsidR="003D52FD">
        <w:t>, implemented in</w:t>
      </w:r>
      <w:r w:rsidRPr="0070115F">
        <w:t xml:space="preserve"> two incremental watersheds of the Santa </w:t>
      </w:r>
      <w:r w:rsidRPr="00DF56A5">
        <w:t>Lucía Chico basin in Uruguay</w:t>
      </w:r>
      <w:r w:rsidR="003D52FD" w:rsidRPr="00DF56A5">
        <w:t>.</w:t>
      </w:r>
      <w:r w:rsidRPr="00DF56A5">
        <w:t xml:space="preserve"> </w:t>
      </w:r>
      <w:r w:rsidR="003D52FD" w:rsidRPr="00DF56A5">
        <w:t xml:space="preserve">Results </w:t>
      </w:r>
      <w:r w:rsidRPr="00DF56A5">
        <w:t>show</w:t>
      </w:r>
      <w:r w:rsidR="003D52FD" w:rsidRPr="00DF56A5">
        <w:t>e</w:t>
      </w:r>
      <w:r w:rsidR="00FE0B4B" w:rsidRPr="00DF56A5">
        <w:t>d</w:t>
      </w:r>
      <w:r w:rsidRPr="00DF56A5">
        <w:t xml:space="preserve"> a</w:t>
      </w:r>
      <w:r w:rsidR="00FE0B4B" w:rsidRPr="00DF56A5">
        <w:t>n average</w:t>
      </w:r>
      <w:r w:rsidRPr="00DF56A5">
        <w:t xml:space="preserve"> increase in performance of 1</w:t>
      </w:r>
      <w:r w:rsidR="00CF4470">
        <w:t>8</w:t>
      </w:r>
      <w:r w:rsidRPr="00DF56A5">
        <w:t xml:space="preserve"> % for Nash-Sutcliffe efficiency and 3</w:t>
      </w:r>
      <w:r w:rsidR="00CF4470">
        <w:t>7</w:t>
      </w:r>
      <w:r w:rsidRPr="00DF56A5">
        <w:t xml:space="preserve"> % for peak-flow Nash-Sutcliffe efficiency. </w:t>
      </w:r>
      <w:r w:rsidR="00D22161" w:rsidRPr="00DF56A5">
        <w:t>The work</w:t>
      </w:r>
      <w:r w:rsidRPr="00DF56A5">
        <w:t xml:space="preserve"> </w:t>
      </w:r>
      <w:r w:rsidR="00D22161" w:rsidRPr="00DF56A5">
        <w:t xml:space="preserve">allows </w:t>
      </w:r>
      <w:r w:rsidR="009A5DE9">
        <w:t xml:space="preserve">us </w:t>
      </w:r>
      <w:r w:rsidR="00D22161" w:rsidRPr="00DF56A5">
        <w:t>to conclude</w:t>
      </w:r>
      <w:r w:rsidRPr="00DF56A5">
        <w:t xml:space="preserve"> that class imbalance</w:t>
      </w:r>
      <w:r w:rsidRPr="0070115F">
        <w:t xml:space="preserve"> is a relevant issue affecting the performance of data-driven rainfall-runoff models</w:t>
      </w:r>
      <w:r w:rsidR="00BB3300">
        <w:t xml:space="preserve"> under certain conditions</w:t>
      </w:r>
      <w:r w:rsidRPr="0070115F">
        <w:t xml:space="preserve"> and that the proposed methodology </w:t>
      </w:r>
      <w:r w:rsidR="00371B1F">
        <w:t xml:space="preserve">is useful to </w:t>
      </w:r>
      <w:r w:rsidR="000A62BA">
        <w:t>tackle</w:t>
      </w:r>
      <w:r w:rsidR="000A62BA">
        <w:t xml:space="preserve"> </w:t>
      </w:r>
      <w:r w:rsidRPr="0070115F">
        <w:t>said issue and improve model performance for high flows.</w:t>
      </w:r>
    </w:p>
    <w:p w14:paraId="644B5EBF" w14:textId="673A161A" w:rsidR="00BA6B56" w:rsidRDefault="0065112A" w:rsidP="00BA6B56">
      <w:pPr>
        <w:pStyle w:val="IAHRheading1"/>
      </w:pPr>
      <w:r>
        <w:t>Introduction</w:t>
      </w:r>
    </w:p>
    <w:p w14:paraId="254B0439" w14:textId="42B1DEEE" w:rsidR="00821955" w:rsidRDefault="00EA0E60" w:rsidP="00EA0E60">
      <w:pPr>
        <w:pStyle w:val="IAHRtext"/>
      </w:pPr>
      <w:r w:rsidRPr="00EA0E60">
        <w:t xml:space="preserve">Data-driven models serve as valuable tools in hydrological studies, offering insights into the relationship between rainfall patterns and </w:t>
      </w:r>
      <w:r w:rsidR="004D179E">
        <w:t>river</w:t>
      </w:r>
      <w:r w:rsidR="00803ABA">
        <w:t xml:space="preserve"> discharge</w:t>
      </w:r>
      <w:r w:rsidR="004D179E">
        <w:t>s</w:t>
      </w:r>
      <w:r w:rsidRPr="00EA0E60">
        <w:t>. However, recent investigations have highlighted their limited representation of flood peaks in daily step implementations (Barbosa-Reis et al., 2021; Chen et al. 2023; Rezaie-</w:t>
      </w:r>
      <w:proofErr w:type="spellStart"/>
      <w:r w:rsidRPr="00EA0E60">
        <w:t>Balf</w:t>
      </w:r>
      <w:proofErr w:type="spellEnd"/>
      <w:r w:rsidRPr="00EA0E60">
        <w:t xml:space="preserve"> et al., 2019, Vilaseca et al., 2023). We theorize that these limitations can often be attributed to class-imbalance issues in </w:t>
      </w:r>
      <w:r w:rsidR="002E11A9">
        <w:t>the</w:t>
      </w:r>
      <w:r w:rsidRPr="00EA0E60">
        <w:t xml:space="preserve"> time series</w:t>
      </w:r>
      <w:r w:rsidR="002E11A9">
        <w:t xml:space="preserve"> employed for model training</w:t>
      </w:r>
      <w:r w:rsidRPr="00EA0E60">
        <w:t xml:space="preserve">. Typical hydrographs encountered in alluvial rivers show prevailing low and mid-flow conditions, occasionally punctuated by rapid streamflow increase generating flood events. </w:t>
      </w:r>
      <w:r w:rsidR="00137115">
        <w:t>Therefore, c</w:t>
      </w:r>
      <w:r w:rsidRPr="00EA0E60">
        <w:t xml:space="preserve">lassifying flow events based on their magnitude places floods in the minority category, starkly contrasting with the abundant base flows. Consequently, this class imbalance distorts the learning process of algorithms during the training phase, impairing the model's ability to </w:t>
      </w:r>
      <w:r w:rsidR="00A27554">
        <w:t>capture and predict</w:t>
      </w:r>
      <w:r w:rsidR="009A5DE9">
        <w:t xml:space="preserve"> high-flow events accurately</w:t>
      </w:r>
      <w:r w:rsidRPr="00EA0E60">
        <w:t>.</w:t>
      </w:r>
    </w:p>
    <w:p w14:paraId="6CFC6B60" w14:textId="79A7ED95" w:rsidR="00A87CD8" w:rsidRDefault="002E0102" w:rsidP="00EA0E60">
      <w:pPr>
        <w:pStyle w:val="IAHRtext"/>
      </w:pPr>
      <w:r>
        <w:t xml:space="preserve">Diverse data augmentation techniques have been developed and applied </w:t>
      </w:r>
      <w:r w:rsidR="00FC056F">
        <w:t xml:space="preserve">through the years </w:t>
      </w:r>
      <w:r>
        <w:t>to</w:t>
      </w:r>
      <w:r w:rsidR="00101C77">
        <w:t xml:space="preserve"> </w:t>
      </w:r>
      <w:r w:rsidR="003A251C">
        <w:t xml:space="preserve">data </w:t>
      </w:r>
      <w:r w:rsidR="009A5DE9">
        <w:t>science-</w:t>
      </w:r>
      <w:r w:rsidR="00FC056F">
        <w:t>related</w:t>
      </w:r>
      <w:r w:rsidR="003A251C">
        <w:t xml:space="preserve"> problems </w:t>
      </w:r>
      <w:r w:rsidR="00FC056F">
        <w:t>in</w:t>
      </w:r>
      <w:r w:rsidR="003A251C">
        <w:t xml:space="preserve"> </w:t>
      </w:r>
      <w:r w:rsidR="00D8331C">
        <w:t>different</w:t>
      </w:r>
      <w:r w:rsidR="003A251C">
        <w:t xml:space="preserve"> area</w:t>
      </w:r>
      <w:r w:rsidR="00F814FC">
        <w:t xml:space="preserve">s of knowledge. They serve </w:t>
      </w:r>
      <w:r w:rsidR="00D8331C">
        <w:t xml:space="preserve">a variety of </w:t>
      </w:r>
      <w:r w:rsidR="00FC056F">
        <w:t>purposes but</w:t>
      </w:r>
      <w:r w:rsidR="00D8331C">
        <w:t xml:space="preserve"> </w:t>
      </w:r>
      <w:r w:rsidR="007869DB">
        <w:t xml:space="preserve">are particularly useful </w:t>
      </w:r>
      <w:r w:rsidR="00B0273E">
        <w:t xml:space="preserve">for the task of </w:t>
      </w:r>
      <w:r w:rsidR="004A1D03">
        <w:t xml:space="preserve">balancing datasets with unequal representation of classes, such as </w:t>
      </w:r>
      <w:r w:rsidR="00333D9F">
        <w:t xml:space="preserve">the problem posed in this paper. </w:t>
      </w:r>
      <w:r w:rsidR="00F775A2">
        <w:t xml:space="preserve">Among frequently used data augmentation methods, </w:t>
      </w:r>
      <w:r w:rsidR="00530DD7">
        <w:t>the Synthetic Minority Over</w:t>
      </w:r>
      <w:r w:rsidR="00D45301">
        <w:t>s</w:t>
      </w:r>
      <w:r w:rsidR="00530DD7">
        <w:t xml:space="preserve">ampling </w:t>
      </w:r>
      <w:r w:rsidR="00D45301">
        <w:t>Technique (SMOTE) algorithm and its variants</w:t>
      </w:r>
      <w:r w:rsidR="003869A1">
        <w:t xml:space="preserve"> stand out for their </w:t>
      </w:r>
      <w:r w:rsidR="00E04D73">
        <w:t xml:space="preserve">ability to generate synthetic data </w:t>
      </w:r>
      <w:r w:rsidR="00B16CA5">
        <w:t>close to the existing in the multi-dimensional space of the input variables. T</w:t>
      </w:r>
      <w:r w:rsidR="00BC3E75">
        <w:t>o the authors’ knowledge,</w:t>
      </w:r>
      <w:r w:rsidR="00333D9F">
        <w:t xml:space="preserve"> </w:t>
      </w:r>
      <w:r w:rsidR="00B16CA5">
        <w:t>data-augmentation</w:t>
      </w:r>
      <w:r w:rsidR="0014085A">
        <w:t xml:space="preserve"> techniques</w:t>
      </w:r>
      <w:r w:rsidR="00333D9F">
        <w:t xml:space="preserve"> have been scarcely applied to hydrological modeling</w:t>
      </w:r>
      <w:r w:rsidR="00FC056F">
        <w:t xml:space="preserve">, </w:t>
      </w:r>
      <w:r w:rsidR="00AD4CF3">
        <w:t>and the class-</w:t>
      </w:r>
      <w:r w:rsidR="00BC3E75">
        <w:t>imbalance</w:t>
      </w:r>
      <w:r w:rsidR="00AD4CF3">
        <w:t xml:space="preserve"> problem in </w:t>
      </w:r>
      <w:r w:rsidR="009A5DE9">
        <w:t xml:space="preserve">the </w:t>
      </w:r>
      <w:r w:rsidR="00AD4CF3">
        <w:t>discharge series has not yet been</w:t>
      </w:r>
      <w:r w:rsidR="00B16CA5">
        <w:t xml:space="preserve"> fully</w:t>
      </w:r>
      <w:r w:rsidR="00AD4CF3">
        <w:t xml:space="preserve"> </w:t>
      </w:r>
      <w:r w:rsidR="00CC088F">
        <w:t>addressed</w:t>
      </w:r>
      <w:r w:rsidR="00FC056F">
        <w:t xml:space="preserve">. </w:t>
      </w:r>
      <w:r w:rsidR="006E435C">
        <w:t xml:space="preserve">Some examples of </w:t>
      </w:r>
      <w:r w:rsidR="004B4537">
        <w:t xml:space="preserve">data augmentation applications in hydrological models are the works of </w:t>
      </w:r>
      <w:r w:rsidR="00FC32B5">
        <w:t>Bi et al. (2020)</w:t>
      </w:r>
      <w:r w:rsidR="006B2E8D">
        <w:t xml:space="preserve"> and Zhang and Yan (</w:t>
      </w:r>
      <w:r w:rsidR="00717ABE">
        <w:t>2023</w:t>
      </w:r>
      <w:r w:rsidR="006B2E8D">
        <w:t>)</w:t>
      </w:r>
      <w:r w:rsidR="009A5DE9">
        <w:t>,</w:t>
      </w:r>
      <w:r w:rsidR="00FC32B5">
        <w:t xml:space="preserve"> who use</w:t>
      </w:r>
      <w:r w:rsidR="009A5DE9">
        <w:t>d</w:t>
      </w:r>
      <w:r w:rsidR="00FC32B5">
        <w:t xml:space="preserve"> linear interpolation to </w:t>
      </w:r>
      <w:r w:rsidR="006029A1">
        <w:t xml:space="preserve">artificially increase the sampling </w:t>
      </w:r>
      <w:r w:rsidR="00842575">
        <w:t>resolution</w:t>
      </w:r>
      <w:r w:rsidR="006029A1">
        <w:t xml:space="preserve"> of discharge observations, </w:t>
      </w:r>
      <w:r w:rsidR="00356F2E">
        <w:t xml:space="preserve">resulting in a </w:t>
      </w:r>
      <w:r w:rsidR="00402A3F">
        <w:t>more robust</w:t>
      </w:r>
      <w:r w:rsidR="00356F2E">
        <w:t xml:space="preserve"> </w:t>
      </w:r>
      <w:r w:rsidR="00F72FE2">
        <w:t xml:space="preserve">training dataset </w:t>
      </w:r>
      <w:r w:rsidR="00B17DB1">
        <w:t>and</w:t>
      </w:r>
      <w:r w:rsidR="00427130">
        <w:t>,</w:t>
      </w:r>
      <w:r w:rsidR="00B17DB1">
        <w:t xml:space="preserve"> consequent</w:t>
      </w:r>
      <w:r w:rsidR="00427130">
        <w:t>ly,</w:t>
      </w:r>
      <w:r w:rsidR="00B17DB1">
        <w:t xml:space="preserve"> improved model performance</w:t>
      </w:r>
      <w:r w:rsidR="00023D99">
        <w:t>.</w:t>
      </w:r>
      <w:r w:rsidR="006B2E8D">
        <w:t xml:space="preserve"> </w:t>
      </w:r>
      <w:r w:rsidR="009E3CD5">
        <w:t>Recent applications to</w:t>
      </w:r>
      <w:r w:rsidR="00440CF6">
        <w:t xml:space="preserve"> other</w:t>
      </w:r>
      <w:r w:rsidR="009E3CD5">
        <w:t xml:space="preserve"> related water resources problems include the </w:t>
      </w:r>
      <w:r w:rsidR="00EC0808">
        <w:t xml:space="preserve">work of Tang et al. (2022) who </w:t>
      </w:r>
      <w:r w:rsidR="00765638">
        <w:t xml:space="preserve">combined SMOTE with machine </w:t>
      </w:r>
      <w:r w:rsidR="009A5DE9">
        <w:t>learning-</w:t>
      </w:r>
      <w:r w:rsidR="00765638">
        <w:t xml:space="preserve">based models </w:t>
      </w:r>
      <w:r w:rsidR="00F670CE">
        <w:t xml:space="preserve">for precipitation forecasting, and of </w:t>
      </w:r>
      <w:r w:rsidR="003B037A">
        <w:t xml:space="preserve">Bilali et al. (2021) who employed </w:t>
      </w:r>
      <w:r w:rsidR="00975266">
        <w:t xml:space="preserve">Gaussian noise to build synthetic datasets </w:t>
      </w:r>
      <w:r w:rsidR="00301E26">
        <w:t xml:space="preserve">in the implementation of a model for predicting </w:t>
      </w:r>
      <w:r w:rsidR="00DC5EE3">
        <w:t>fecal</w:t>
      </w:r>
      <w:r w:rsidR="00301E26">
        <w:t xml:space="preserve"> coliforms in rivers </w:t>
      </w:r>
      <w:r w:rsidR="00DC5EE3">
        <w:t xml:space="preserve">using the AdaBoost machine learning algorithm. </w:t>
      </w:r>
    </w:p>
    <w:p w14:paraId="63581033" w14:textId="3A3F1943" w:rsidR="0080200E" w:rsidRDefault="00EA0E60" w:rsidP="00EA0E60">
      <w:pPr>
        <w:pStyle w:val="IAHRtext"/>
      </w:pPr>
      <w:r w:rsidRPr="00EA0E60">
        <w:lastRenderedPageBreak/>
        <w:t>To address t</w:t>
      </w:r>
      <w:r w:rsidR="007F6CE5">
        <w:t xml:space="preserve">he class-imbalance </w:t>
      </w:r>
      <w:r w:rsidRPr="00EA0E60">
        <w:t>issue</w:t>
      </w:r>
      <w:r w:rsidR="007F6CE5">
        <w:t xml:space="preserve"> in </w:t>
      </w:r>
      <w:r w:rsidR="009A5DE9">
        <w:t>developing</w:t>
      </w:r>
      <w:r w:rsidR="007F6CE5">
        <w:t xml:space="preserve"> </w:t>
      </w:r>
      <w:r w:rsidR="009A5DE9">
        <w:t xml:space="preserve">a </w:t>
      </w:r>
      <w:r w:rsidR="00F26304">
        <w:t xml:space="preserve">machine </w:t>
      </w:r>
      <w:r w:rsidR="009A5DE9">
        <w:t>learning-</w:t>
      </w:r>
      <w:r w:rsidR="00F26304">
        <w:t>based hydrological model</w:t>
      </w:r>
      <w:r w:rsidRPr="00EA0E60">
        <w:t xml:space="preserve">, we present a methodology </w:t>
      </w:r>
      <w:r w:rsidR="00F26304">
        <w:t xml:space="preserve">based </w:t>
      </w:r>
      <w:r w:rsidR="009A5DE9">
        <w:t xml:space="preserve">on </w:t>
      </w:r>
      <w:r w:rsidR="00F26304">
        <w:t xml:space="preserve">the SMOTE algorithm and its variants </w:t>
      </w:r>
      <w:r w:rsidRPr="00EA0E60">
        <w:t>to balance the weight of high flows, with respect to base flows, during the training stage</w:t>
      </w:r>
      <w:r w:rsidR="00830CAB">
        <w:t xml:space="preserve"> in the </w:t>
      </w:r>
      <w:r w:rsidR="001A6BDC">
        <w:t>implementation</w:t>
      </w:r>
      <w:r w:rsidRPr="00EA0E60">
        <w:t xml:space="preserve">. </w:t>
      </w:r>
      <w:r w:rsidR="000B1564">
        <w:t xml:space="preserve">The methodology is then applied to </w:t>
      </w:r>
      <w:r w:rsidR="001A6BDC">
        <w:t xml:space="preserve">the development of </w:t>
      </w:r>
      <w:r w:rsidR="004A7828">
        <w:t>Random Forest</w:t>
      </w:r>
      <w:r w:rsidR="0065521B">
        <w:t xml:space="preserve"> (RF)</w:t>
      </w:r>
      <w:r w:rsidR="004A7828">
        <w:t xml:space="preserve"> </w:t>
      </w:r>
      <w:r w:rsidR="001A6BDC">
        <w:t>models for two incremental watersheds in the Santa Lucía Chico basin, Uruguay</w:t>
      </w:r>
      <w:r w:rsidR="00067103">
        <w:t xml:space="preserve">. </w:t>
      </w:r>
      <w:r w:rsidRPr="00EA0E60">
        <w:t>By ameliorating the class imbalance, we aim to enhance the model's capacity to effectively predict and characterize flood events, contributing to the refinement of hydrological simulations.</w:t>
      </w:r>
    </w:p>
    <w:p w14:paraId="20B8CD3B" w14:textId="34963AB8" w:rsidR="00B331FD" w:rsidRDefault="00A45E89" w:rsidP="00BA6B56">
      <w:pPr>
        <w:pStyle w:val="IAHRheading1"/>
      </w:pPr>
      <w:r>
        <w:t>Materials</w:t>
      </w:r>
    </w:p>
    <w:p w14:paraId="0183C4E3" w14:textId="74BF0835" w:rsidR="003160B3" w:rsidRDefault="005D3249" w:rsidP="005D3249">
      <w:pPr>
        <w:pStyle w:val="IAHR-heading2"/>
      </w:pPr>
      <w:r>
        <w:t xml:space="preserve">Study </w:t>
      </w:r>
      <w:proofErr w:type="gramStart"/>
      <w:r>
        <w:t>area</w:t>
      </w:r>
      <w:proofErr w:type="gramEnd"/>
    </w:p>
    <w:p w14:paraId="7110035A" w14:textId="53ECC4CC" w:rsidR="006706D7" w:rsidRDefault="00C612CB" w:rsidP="0092099B">
      <w:pPr>
        <w:pStyle w:val="IAHRtext"/>
      </w:pPr>
      <w:r w:rsidRPr="00C612CB">
        <w:t xml:space="preserve">The study area is the Santa Lucía Chico basin, located in the south-central region of Uruguay. </w:t>
      </w:r>
      <w:r w:rsidR="00C164B6">
        <w:t>It</w:t>
      </w:r>
      <w:r w:rsidR="00F35DAA">
        <w:t xml:space="preserve"> i</w:t>
      </w:r>
      <w:r w:rsidR="00C164B6">
        <w:t>s</w:t>
      </w:r>
      <w:r w:rsidR="007854EC">
        <w:t xml:space="preserve"> characterized </w:t>
      </w:r>
      <w:r w:rsidR="009A5DE9">
        <w:t>as</w:t>
      </w:r>
      <w:r w:rsidR="00F35DAA">
        <w:t xml:space="preserve"> a mainly rural watershed with mild terrain slopes.</w:t>
      </w:r>
      <w:r w:rsidR="00C164B6">
        <w:t xml:space="preserve"> </w:t>
      </w:r>
      <w:r w:rsidR="00F35DAA">
        <w:t>Its predominant</w:t>
      </w:r>
      <w:r w:rsidR="00C164B6">
        <w:t xml:space="preserve"> land use is agriculture</w:t>
      </w:r>
      <w:r w:rsidR="008E48E6">
        <w:t xml:space="preserve">, with its territory majorly covered by pastures (82.4%) </w:t>
      </w:r>
      <w:r w:rsidR="00CE37E1">
        <w:t xml:space="preserve">and crops (9.4%) (Vilaseca et al., 2021a). </w:t>
      </w:r>
      <w:r w:rsidR="00821396">
        <w:t xml:space="preserve">Located in a zone of temperate climate, the annual rainfall ranges </w:t>
      </w:r>
      <w:r w:rsidR="004B168F">
        <w:t xml:space="preserve">between 1000 and 1500 m, </w:t>
      </w:r>
      <w:r w:rsidR="00B62459">
        <w:t xml:space="preserve">with a regime characterized by </w:t>
      </w:r>
      <w:r w:rsidR="00BC0CFD">
        <w:t xml:space="preserve">high intra-annual variability, with no distinguishable </w:t>
      </w:r>
      <w:r w:rsidR="00D74F62">
        <w:t>rainy season. T</w:t>
      </w:r>
      <w:r w:rsidR="004B168F">
        <w:t>he air temperature varies during the year between 3 and 30</w:t>
      </w:r>
      <w:r w:rsidR="009A5DE9">
        <w:t xml:space="preserve"> </w:t>
      </w:r>
      <w:r w:rsidR="004B168F">
        <w:t>°C</w:t>
      </w:r>
      <w:r w:rsidR="00D74F62">
        <w:t xml:space="preserve"> with a </w:t>
      </w:r>
      <w:r w:rsidR="0002672F">
        <w:t>four-season</w:t>
      </w:r>
      <w:r w:rsidR="00D74F62">
        <w:t xml:space="preserve"> regime</w:t>
      </w:r>
      <w:r w:rsidR="00B62459">
        <w:t>.</w:t>
      </w:r>
      <w:r w:rsidR="0002672F">
        <w:t xml:space="preserve"> </w:t>
      </w:r>
    </w:p>
    <w:p w14:paraId="040777DC" w14:textId="38B66CAD" w:rsidR="00BB086A" w:rsidRDefault="0002672F" w:rsidP="0092099B">
      <w:pPr>
        <w:pStyle w:val="IAHRtext"/>
      </w:pPr>
      <w:r>
        <w:t xml:space="preserve">The motivation for selecting this basin as </w:t>
      </w:r>
      <w:r w:rsidR="009A5DE9">
        <w:t xml:space="preserve">the </w:t>
      </w:r>
      <w:r>
        <w:t xml:space="preserve">case study is its </w:t>
      </w:r>
      <w:r w:rsidR="00C65358">
        <w:t xml:space="preserve">national </w:t>
      </w:r>
      <w:r>
        <w:t>relevance</w:t>
      </w:r>
      <w:r w:rsidR="00C65358">
        <w:t>.</w:t>
      </w:r>
      <w:r w:rsidR="000D154E">
        <w:t xml:space="preserve"> </w:t>
      </w:r>
      <w:r w:rsidR="008211A1">
        <w:t xml:space="preserve">Besides </w:t>
      </w:r>
      <w:r w:rsidR="0023288D">
        <w:t>its significance in</w:t>
      </w:r>
      <w:r>
        <w:t xml:space="preserve"> terms of agricultural production</w:t>
      </w:r>
      <w:r w:rsidR="0023288D">
        <w:t>,</w:t>
      </w:r>
      <w:r>
        <w:t xml:space="preserve"> </w:t>
      </w:r>
      <w:r w:rsidR="0023288D">
        <w:t>it is</w:t>
      </w:r>
      <w:r w:rsidR="00DC4BFF">
        <w:t xml:space="preserve"> the </w:t>
      </w:r>
      <w:r w:rsidR="00BE25EF">
        <w:t xml:space="preserve">country’s </w:t>
      </w:r>
      <w:r w:rsidR="00DC4BFF">
        <w:t xml:space="preserve">primary source of </w:t>
      </w:r>
      <w:r w:rsidR="00D8402E">
        <w:t>raw water for potabilization</w:t>
      </w:r>
      <w:r w:rsidR="009116F2">
        <w:t xml:space="preserve">. It contains </w:t>
      </w:r>
      <w:r w:rsidR="009349A1">
        <w:t>Paso Severino reservoir</w:t>
      </w:r>
      <w:r w:rsidR="00ED1CE5">
        <w:t xml:space="preserve"> (in the outlet)</w:t>
      </w:r>
      <w:r w:rsidR="009349A1">
        <w:t>, an artificial lake</w:t>
      </w:r>
      <w:r w:rsidR="0038276E">
        <w:t xml:space="preserve"> with a design volume of </w:t>
      </w:r>
      <w:r w:rsidR="009F2739">
        <w:t>70 hm</w:t>
      </w:r>
      <w:r w:rsidR="009F2739">
        <w:rPr>
          <w:vertAlign w:val="superscript"/>
        </w:rPr>
        <w:t>3</w:t>
      </w:r>
      <w:r w:rsidR="009F2739">
        <w:t>,</w:t>
      </w:r>
      <w:r w:rsidR="009349A1">
        <w:t xml:space="preserve"> </w:t>
      </w:r>
      <w:r w:rsidR="007534DF">
        <w:t xml:space="preserve">which stores water to supply the </w:t>
      </w:r>
      <w:r w:rsidR="006706D7">
        <w:t>treatment system that distributes drinking water for the capital city, Montevideo, and its metropolitan area, serving more than half of Uruguay’s population.</w:t>
      </w:r>
      <w:r w:rsidR="00C9053E">
        <w:t xml:space="preserve"> </w:t>
      </w:r>
      <w:r w:rsidR="00A863DE">
        <w:t>A</w:t>
      </w:r>
      <w:r w:rsidR="00A863DE" w:rsidRPr="00C612CB">
        <w:t>n incremental watershed (1748 km</w:t>
      </w:r>
      <w:r w:rsidR="00A863DE" w:rsidRPr="00A863DE">
        <w:rPr>
          <w:vertAlign w:val="superscript"/>
        </w:rPr>
        <w:t>2</w:t>
      </w:r>
      <w:r w:rsidR="00A863DE" w:rsidRPr="00C612CB">
        <w:t xml:space="preserve">) with </w:t>
      </w:r>
      <w:r w:rsidR="009A5DE9">
        <w:t xml:space="preserve">the </w:t>
      </w:r>
      <w:r w:rsidR="00A863DE" w:rsidRPr="00C612CB">
        <w:t xml:space="preserve">closure </w:t>
      </w:r>
      <w:r w:rsidR="00A863DE">
        <w:t xml:space="preserve">point </w:t>
      </w:r>
      <w:r w:rsidR="00A863DE" w:rsidRPr="00C612CB">
        <w:t>at the city of Florida (</w:t>
      </w:r>
      <w:r w:rsidR="00A863DE" w:rsidRPr="00154F71">
        <w:rPr>
          <w:i/>
          <w:iCs/>
        </w:rPr>
        <w:t>FL</w:t>
      </w:r>
      <w:r w:rsidR="00A863DE" w:rsidRPr="00C612CB">
        <w:t>)</w:t>
      </w:r>
      <w:r w:rsidR="00A863DE">
        <w:t xml:space="preserve"> and t</w:t>
      </w:r>
      <w:r w:rsidR="00C612CB" w:rsidRPr="00C612CB">
        <w:t>he entire watershed (2478 km</w:t>
      </w:r>
      <w:r w:rsidR="00C612CB" w:rsidRPr="00C612CB">
        <w:rPr>
          <w:vertAlign w:val="superscript"/>
        </w:rPr>
        <w:t>2</w:t>
      </w:r>
      <w:r w:rsidR="00C612CB" w:rsidRPr="00C612CB">
        <w:t>) with</w:t>
      </w:r>
      <w:r w:rsidR="009A5DE9">
        <w:t xml:space="preserve"> the</w:t>
      </w:r>
      <w:r w:rsidR="00C612CB" w:rsidRPr="00C612CB">
        <w:t xml:space="preserve"> closure at Paso Severino (</w:t>
      </w:r>
      <w:r w:rsidR="00C612CB" w:rsidRPr="00154F71">
        <w:rPr>
          <w:i/>
          <w:iCs/>
        </w:rPr>
        <w:t>PS</w:t>
      </w:r>
      <w:r w:rsidR="00C612CB" w:rsidRPr="00C612CB">
        <w:t>) dam were considered to test the methodology</w:t>
      </w:r>
      <w:r w:rsidR="00BB086A">
        <w:t xml:space="preserve"> (</w:t>
      </w:r>
      <w:r w:rsidR="00D0754A" w:rsidRPr="00D0754A">
        <w:fldChar w:fldCharType="begin"/>
      </w:r>
      <w:r w:rsidR="00D0754A" w:rsidRPr="00D0754A">
        <w:instrText xml:space="preserve"> REF _Ref164082560 \h </w:instrText>
      </w:r>
      <w:r w:rsidR="00D0754A" w:rsidRPr="00D0754A">
        <w:instrText xml:space="preserve"> \* MERGEFORMAT </w:instrText>
      </w:r>
      <w:r w:rsidR="00D0754A" w:rsidRPr="00D0754A">
        <w:fldChar w:fldCharType="separate"/>
      </w:r>
      <w:r w:rsidR="00D0754A" w:rsidRPr="00D0754A">
        <w:t xml:space="preserve">Figure </w:t>
      </w:r>
      <w:r w:rsidR="00D0754A" w:rsidRPr="00D0754A">
        <w:rPr>
          <w:noProof/>
        </w:rPr>
        <w:t>1</w:t>
      </w:r>
      <w:r w:rsidR="00D0754A" w:rsidRPr="00D0754A">
        <w:fldChar w:fldCharType="end"/>
      </w:r>
      <w:r w:rsidR="00BB086A">
        <w:t>)</w:t>
      </w:r>
      <w:r w:rsidR="00C612CB" w:rsidRPr="00C612CB">
        <w:t>.</w:t>
      </w:r>
      <w:r w:rsidR="00BB086A">
        <w:t xml:space="preserve"> </w:t>
      </w:r>
      <w:r w:rsidR="0088725A">
        <w:t xml:space="preserve">In both cases, </w:t>
      </w:r>
      <w:r w:rsidR="0059579D">
        <w:t xml:space="preserve">closure points </w:t>
      </w:r>
      <w:r w:rsidR="002659C1">
        <w:t>c</w:t>
      </w:r>
      <w:r w:rsidR="00280E29">
        <w:t>orrespond</w:t>
      </w:r>
      <w:r w:rsidR="002659C1">
        <w:t xml:space="preserve"> with discharge monitoring sites</w:t>
      </w:r>
      <w:r w:rsidR="00CA4579">
        <w:t>.</w:t>
      </w:r>
    </w:p>
    <w:p w14:paraId="66A9E91F" w14:textId="77777777" w:rsidR="00907DB9" w:rsidRDefault="00907DB9" w:rsidP="008A0001">
      <w:pPr>
        <w:pStyle w:val="IAHRtext"/>
        <w:ind w:left="708" w:hanging="708"/>
      </w:pPr>
    </w:p>
    <w:p w14:paraId="0148BDA5" w14:textId="77777777" w:rsidR="00DF7944" w:rsidRDefault="00396BE8" w:rsidP="00DF7944">
      <w:pPr>
        <w:pStyle w:val="IAHRtext"/>
        <w:keepNext/>
        <w:jc w:val="center"/>
      </w:pPr>
      <w:r>
        <w:rPr>
          <w:noProof/>
          <w:lang w:val="en-GB" w:eastAsia="en-GB"/>
        </w:rPr>
        <w:drawing>
          <wp:inline distT="0" distB="0" distL="0" distR="0" wp14:anchorId="2E8741C3" wp14:editId="6CA3707D">
            <wp:extent cx="3346105" cy="3505678"/>
            <wp:effectExtent l="0" t="0" r="6985" b="0"/>
            <wp:docPr id="244223233"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23233" name="Imagen 1" descr="Mapa&#10;&#10;Descripción generada automáticamente"/>
                    <pic:cNvPicPr/>
                  </pic:nvPicPr>
                  <pic:blipFill rotWithShape="1">
                    <a:blip r:embed="rId7" cstate="print">
                      <a:extLst>
                        <a:ext uri="{28A0092B-C50C-407E-A947-70E740481C1C}">
                          <a14:useLocalDpi xmlns:a14="http://schemas.microsoft.com/office/drawing/2010/main" val="0"/>
                        </a:ext>
                      </a:extLst>
                    </a:blip>
                    <a:srcRect t="1221"/>
                    <a:stretch/>
                  </pic:blipFill>
                  <pic:spPr bwMode="auto">
                    <a:xfrm>
                      <a:off x="0" y="0"/>
                      <a:ext cx="3363944" cy="3524368"/>
                    </a:xfrm>
                    <a:prstGeom prst="rect">
                      <a:avLst/>
                    </a:prstGeom>
                    <a:ln>
                      <a:noFill/>
                    </a:ln>
                    <a:extLst>
                      <a:ext uri="{53640926-AAD7-44D8-BBD7-CCE9431645EC}">
                        <a14:shadowObscured xmlns:a14="http://schemas.microsoft.com/office/drawing/2010/main"/>
                      </a:ext>
                    </a:extLst>
                  </pic:spPr>
                </pic:pic>
              </a:graphicData>
            </a:graphic>
          </wp:inline>
        </w:drawing>
      </w:r>
    </w:p>
    <w:p w14:paraId="3071C89E" w14:textId="7E3C7CFD" w:rsidR="00396BE8" w:rsidRPr="00420201" w:rsidRDefault="00DF7944" w:rsidP="003062E2">
      <w:pPr>
        <w:pStyle w:val="IAHRfigurecaptio"/>
      </w:pPr>
      <w:bookmarkStart w:id="0" w:name="_Ref164082560"/>
      <w:r w:rsidRPr="003062E2">
        <w:rPr>
          <w:b/>
          <w:bCs/>
        </w:rPr>
        <w:t xml:space="preserve">Figure </w:t>
      </w:r>
      <w:r w:rsidRPr="003062E2">
        <w:rPr>
          <w:b/>
          <w:bCs/>
        </w:rPr>
        <w:fldChar w:fldCharType="begin"/>
      </w:r>
      <w:r w:rsidRPr="003062E2">
        <w:rPr>
          <w:b/>
          <w:bCs/>
        </w:rPr>
        <w:instrText xml:space="preserve"> SEQ Figure \* ARABIC </w:instrText>
      </w:r>
      <w:r w:rsidRPr="003062E2">
        <w:rPr>
          <w:b/>
          <w:bCs/>
        </w:rPr>
        <w:fldChar w:fldCharType="separate"/>
      </w:r>
      <w:r w:rsidR="00782835">
        <w:rPr>
          <w:b/>
          <w:bCs/>
          <w:noProof/>
        </w:rPr>
        <w:t>1</w:t>
      </w:r>
      <w:r w:rsidRPr="003062E2">
        <w:rPr>
          <w:b/>
          <w:bCs/>
        </w:rPr>
        <w:fldChar w:fldCharType="end"/>
      </w:r>
      <w:bookmarkEnd w:id="0"/>
      <w:r w:rsidR="003326C1" w:rsidRPr="00420201">
        <w:t xml:space="preserve">. </w:t>
      </w:r>
      <w:r w:rsidR="00420201" w:rsidRPr="00420201">
        <w:t>Location of the i</w:t>
      </w:r>
      <w:r w:rsidR="00420201">
        <w:t xml:space="preserve">ncremental watersheds under study and </w:t>
      </w:r>
      <w:r w:rsidR="00205DBD">
        <w:t>data stations around them.</w:t>
      </w:r>
    </w:p>
    <w:p w14:paraId="36E40095" w14:textId="09D9043B" w:rsidR="005D3249" w:rsidRDefault="005D3249" w:rsidP="005D3249">
      <w:pPr>
        <w:pStyle w:val="IAHR-heading2"/>
      </w:pPr>
      <w:r>
        <w:t>Data</w:t>
      </w:r>
    </w:p>
    <w:p w14:paraId="19AA29C9" w14:textId="0E98B356" w:rsidR="00270047" w:rsidRDefault="00A8307F" w:rsidP="00F4484B">
      <w:pPr>
        <w:pStyle w:val="IAHRtext"/>
      </w:pPr>
      <w:r>
        <w:t xml:space="preserve">The dataset employed to build the models </w:t>
      </w:r>
      <w:r w:rsidR="00424A2E">
        <w:t xml:space="preserve">included time series of </w:t>
      </w:r>
      <w:r w:rsidR="00154F71">
        <w:t xml:space="preserve">daily accumulated </w:t>
      </w:r>
      <w:r w:rsidR="00424A2E">
        <w:t>rainfall</w:t>
      </w:r>
      <w:r w:rsidR="00154F71">
        <w:t xml:space="preserve"> (</w:t>
      </w:r>
      <w:r w:rsidR="00154F71" w:rsidRPr="00154F71">
        <w:rPr>
          <w:i/>
          <w:iCs/>
        </w:rPr>
        <w:t>P</w:t>
      </w:r>
      <w:r w:rsidR="00154F71">
        <w:t>)</w:t>
      </w:r>
      <w:r w:rsidR="00CB05F8">
        <w:t>,</w:t>
      </w:r>
      <w:r w:rsidR="006B383D">
        <w:t xml:space="preserve"> in </w:t>
      </w:r>
      <w:r w:rsidR="006B383D" w:rsidRPr="006B383D">
        <w:rPr>
          <w:i/>
          <w:iCs/>
        </w:rPr>
        <w:t>mm</w:t>
      </w:r>
      <w:r w:rsidR="00424A2E">
        <w:t>,</w:t>
      </w:r>
      <w:r w:rsidR="00CB05F8">
        <w:t xml:space="preserve"> measured at eight stations located around the basin</w:t>
      </w:r>
      <w:r w:rsidR="0066365E">
        <w:t>; also</w:t>
      </w:r>
      <w:r w:rsidR="00424A2E">
        <w:t xml:space="preserve"> </w:t>
      </w:r>
      <w:r w:rsidR="006B383D">
        <w:t xml:space="preserve">maximum and minimum daily </w:t>
      </w:r>
      <w:r w:rsidR="00424A2E">
        <w:t>air temperature</w:t>
      </w:r>
      <w:r w:rsidR="0066365E">
        <w:t>s</w:t>
      </w:r>
      <w:r w:rsidR="006B383D">
        <w:t xml:space="preserve"> (</w:t>
      </w:r>
      <w:proofErr w:type="spellStart"/>
      <w:r w:rsidR="006B383D" w:rsidRPr="006B383D">
        <w:rPr>
          <w:i/>
          <w:iCs/>
        </w:rPr>
        <w:t>Tmax</w:t>
      </w:r>
      <w:proofErr w:type="spellEnd"/>
      <w:r w:rsidR="006B383D">
        <w:t xml:space="preserve"> and </w:t>
      </w:r>
      <w:proofErr w:type="spellStart"/>
      <w:r w:rsidR="006B383D" w:rsidRPr="006B383D">
        <w:rPr>
          <w:i/>
          <w:iCs/>
        </w:rPr>
        <w:t>Tmin</w:t>
      </w:r>
      <w:proofErr w:type="spellEnd"/>
      <w:r w:rsidR="006B383D">
        <w:t>)</w:t>
      </w:r>
      <w:r w:rsidR="0066365E">
        <w:t>,</w:t>
      </w:r>
      <w:r w:rsidR="006B383D">
        <w:t xml:space="preserve"> in </w:t>
      </w:r>
      <w:r w:rsidR="006B383D" w:rsidRPr="006B383D">
        <w:rPr>
          <w:i/>
          <w:iCs/>
        </w:rPr>
        <w:t>°</w:t>
      </w:r>
      <w:r w:rsidR="00AA6EFA" w:rsidRPr="006B383D">
        <w:rPr>
          <w:i/>
          <w:iCs/>
        </w:rPr>
        <w:t>C</w:t>
      </w:r>
      <w:r w:rsidR="0066365E">
        <w:rPr>
          <w:i/>
          <w:iCs/>
        </w:rPr>
        <w:t>,</w:t>
      </w:r>
      <w:r w:rsidR="00AA6EFA">
        <w:t xml:space="preserve"> </w:t>
      </w:r>
      <w:r w:rsidR="0066365E">
        <w:t xml:space="preserve">at one climatologic station </w:t>
      </w:r>
      <w:r w:rsidR="00474782">
        <w:t>situated in close proximity to the basin</w:t>
      </w:r>
      <w:r w:rsidR="00FC4991">
        <w:t>;</w:t>
      </w:r>
      <w:r w:rsidR="00474782">
        <w:t xml:space="preserve"> </w:t>
      </w:r>
      <w:r w:rsidR="00AA6EFA">
        <w:t>and</w:t>
      </w:r>
      <w:r w:rsidR="00424A2E">
        <w:t xml:space="preserve"> </w:t>
      </w:r>
      <w:r w:rsidR="006B383D">
        <w:t xml:space="preserve">mean daily </w:t>
      </w:r>
      <w:r w:rsidR="00424A2E">
        <w:t>discharge</w:t>
      </w:r>
      <w:r w:rsidR="00FC4991">
        <w:t>s</w:t>
      </w:r>
      <w:r w:rsidR="006B383D">
        <w:t xml:space="preserve"> (</w:t>
      </w:r>
      <w:r w:rsidR="006B383D" w:rsidRPr="006B383D">
        <w:rPr>
          <w:i/>
          <w:iCs/>
        </w:rPr>
        <w:t>Q</w:t>
      </w:r>
      <w:r w:rsidR="006B383D">
        <w:t>)</w:t>
      </w:r>
      <w:r w:rsidR="00FC4991">
        <w:t>,</w:t>
      </w:r>
      <w:r w:rsidR="006B383D">
        <w:t xml:space="preserve"> in </w:t>
      </w:r>
      <w:r w:rsidR="006B383D" w:rsidRPr="006B383D">
        <w:rPr>
          <w:i/>
          <w:iCs/>
        </w:rPr>
        <w:t>m</w:t>
      </w:r>
      <w:r w:rsidR="006B383D" w:rsidRPr="006B383D">
        <w:rPr>
          <w:i/>
          <w:iCs/>
          <w:vertAlign w:val="superscript"/>
        </w:rPr>
        <w:t>3</w:t>
      </w:r>
      <w:r w:rsidR="006B383D" w:rsidRPr="006B383D">
        <w:rPr>
          <w:i/>
          <w:iCs/>
        </w:rPr>
        <w:t>/s</w:t>
      </w:r>
      <w:r w:rsidR="00FC4991" w:rsidRPr="00FC4991">
        <w:t>,</w:t>
      </w:r>
      <w:r w:rsidR="00FC4991">
        <w:rPr>
          <w:i/>
          <w:iCs/>
        </w:rPr>
        <w:t xml:space="preserve"> </w:t>
      </w:r>
      <w:r w:rsidR="00FC4991">
        <w:t>measured at the closure points of both incremental watersheds</w:t>
      </w:r>
      <w:r w:rsidR="003505DF">
        <w:t xml:space="preserve"> (FL and PS)</w:t>
      </w:r>
      <w:r w:rsidR="00424A2E">
        <w:t>.</w:t>
      </w:r>
      <w:r w:rsidR="007C1BBC">
        <w:t xml:space="preserve"> </w:t>
      </w:r>
      <w:r w:rsidR="00F4484B">
        <w:t xml:space="preserve">In the case of FL, </w:t>
      </w:r>
      <w:r w:rsidR="000D37A3">
        <w:t>they</w:t>
      </w:r>
      <w:r w:rsidR="00F4484B">
        <w:t xml:space="preserve"> are measured in association with </w:t>
      </w:r>
      <w:r w:rsidR="009A5DE9">
        <w:t>real-</w:t>
      </w:r>
      <w:r w:rsidR="00F4484B">
        <w:t xml:space="preserve">time water level through a rating </w:t>
      </w:r>
      <w:r w:rsidR="000E1796">
        <w:t>curve</w:t>
      </w:r>
      <w:r w:rsidR="009A5DE9">
        <w:t xml:space="preserve">, </w:t>
      </w:r>
      <w:r w:rsidR="00D44755">
        <w:t>while i</w:t>
      </w:r>
      <w:r w:rsidR="00F4484B">
        <w:t xml:space="preserve">n PS they result from adding the estimated flow through the dam’s spillway and the flow through the intake pipes that are operated </w:t>
      </w:r>
      <w:r w:rsidR="00F4484B">
        <w:lastRenderedPageBreak/>
        <w:t>to allow the passage of water through said structure.</w:t>
      </w:r>
      <w:r w:rsidR="00202CBC">
        <w:t xml:space="preserve"> The </w:t>
      </w:r>
      <w:r w:rsidR="009A5DE9">
        <w:t xml:space="preserve">shared </w:t>
      </w:r>
      <w:r w:rsidR="00202CBC">
        <w:t xml:space="preserve">period of </w:t>
      </w:r>
      <w:r w:rsidR="00270047">
        <w:t xml:space="preserve">all </w:t>
      </w:r>
      <w:r w:rsidR="00202CBC">
        <w:t xml:space="preserve">the time series was from </w:t>
      </w:r>
      <w:r w:rsidR="00D45DFE" w:rsidRPr="005840A6">
        <w:t xml:space="preserve">1/17/1989 to </w:t>
      </w:r>
      <w:r w:rsidR="00CF4470">
        <w:t>5</w:t>
      </w:r>
      <w:r w:rsidR="003E24E6" w:rsidRPr="005840A6">
        <w:t>/</w:t>
      </w:r>
      <w:r w:rsidR="00CF4470">
        <w:t>6</w:t>
      </w:r>
      <w:r w:rsidR="003E24E6" w:rsidRPr="005840A6">
        <w:t>/20</w:t>
      </w:r>
      <w:r w:rsidR="00CF4470">
        <w:t>16</w:t>
      </w:r>
      <w:r w:rsidR="00F3038F" w:rsidRPr="005840A6">
        <w:t xml:space="preserve"> (</w:t>
      </w:r>
      <w:r w:rsidR="00D557B3">
        <w:t>9973</w:t>
      </w:r>
      <w:r w:rsidR="00F3038F" w:rsidRPr="005840A6">
        <w:t xml:space="preserve"> observations)</w:t>
      </w:r>
      <w:r w:rsidR="00270047" w:rsidRPr="005840A6">
        <w:t>.</w:t>
      </w:r>
    </w:p>
    <w:p w14:paraId="707577AB" w14:textId="3F2A74AB" w:rsidR="00A45E89" w:rsidRDefault="00473F79" w:rsidP="00BA6B56">
      <w:pPr>
        <w:pStyle w:val="IAHRheading1"/>
      </w:pPr>
      <w:r>
        <w:t>Methods</w:t>
      </w:r>
    </w:p>
    <w:p w14:paraId="61E7879D" w14:textId="52F25461" w:rsidR="00AB7B08" w:rsidRDefault="00B63324" w:rsidP="00AB7B08">
      <w:pPr>
        <w:pStyle w:val="IAHR-heading2"/>
      </w:pPr>
      <w:r>
        <w:t>Data preprocessing</w:t>
      </w:r>
    </w:p>
    <w:p w14:paraId="18BD9A14" w14:textId="1359A12A" w:rsidR="008F715E" w:rsidRDefault="00AF4DE8" w:rsidP="00EB1116">
      <w:pPr>
        <w:pStyle w:val="IAHRtext"/>
      </w:pPr>
      <w:r>
        <w:t xml:space="preserve">Two sets of data were generated </w:t>
      </w:r>
      <w:r w:rsidR="00A21D58">
        <w:t xml:space="preserve">to be used as input for </w:t>
      </w:r>
      <w:r w:rsidR="009A5DE9">
        <w:t>implementing</w:t>
      </w:r>
      <w:r w:rsidR="00A21D58">
        <w:t xml:space="preserve"> the models. They were formed </w:t>
      </w:r>
      <w:r w:rsidR="009A5DE9">
        <w:t xml:space="preserve">by </w:t>
      </w:r>
      <w:r w:rsidR="00A2552F">
        <w:t>combining</w:t>
      </w:r>
      <w:r w:rsidR="00A21D58">
        <w:t xml:space="preserve"> </w:t>
      </w:r>
      <w:r w:rsidR="009A5DE9">
        <w:t xml:space="preserve">the </w:t>
      </w:r>
      <w:r w:rsidR="00A2552F">
        <w:t xml:space="preserve">time series </w:t>
      </w:r>
      <w:r w:rsidR="00A563F5">
        <w:t xml:space="preserve">of the original variables </w:t>
      </w:r>
      <w:r w:rsidR="00A2552F">
        <w:t xml:space="preserve">described in </w:t>
      </w:r>
      <w:r w:rsidR="00A2552F" w:rsidRPr="00A2552F">
        <w:rPr>
          <w:i/>
          <w:iCs/>
        </w:rPr>
        <w:t>2.2</w:t>
      </w:r>
      <w:r w:rsidR="00A2552F">
        <w:t xml:space="preserve"> with </w:t>
      </w:r>
      <w:r w:rsidR="0098384E">
        <w:t xml:space="preserve">other </w:t>
      </w:r>
      <w:r w:rsidR="00590E22">
        <w:t>synthetic</w:t>
      </w:r>
      <w:r w:rsidR="0098384E">
        <w:t xml:space="preserve"> variables, introduced to</w:t>
      </w:r>
      <w:r w:rsidR="00166690">
        <w:t xml:space="preserve"> </w:t>
      </w:r>
      <w:r w:rsidR="00316532">
        <w:t xml:space="preserve">facilitate the learning process </w:t>
      </w:r>
      <w:r w:rsidR="004C0688">
        <w:t>and improve model performance</w:t>
      </w:r>
      <w:r w:rsidR="00316532">
        <w:t xml:space="preserve">. </w:t>
      </w:r>
      <w:r w:rsidR="00A43F12">
        <w:t>A time series of spatial</w:t>
      </w:r>
      <w:r w:rsidR="009A5DE9">
        <w:t>ly</w:t>
      </w:r>
      <w:r w:rsidR="00A43F12">
        <w:t xml:space="preserve"> averaged rainfall </w:t>
      </w:r>
      <w:r w:rsidR="00D079FD">
        <w:t>(</w:t>
      </w:r>
      <w:r w:rsidR="00D079FD" w:rsidRPr="00D079FD">
        <w:rPr>
          <w:i/>
          <w:iCs/>
        </w:rPr>
        <w:t>MAP</w:t>
      </w:r>
      <w:r w:rsidR="00D079FD">
        <w:t xml:space="preserve">) </w:t>
      </w:r>
      <w:r w:rsidR="00A43F12">
        <w:t xml:space="preserve">was </w:t>
      </w:r>
      <w:r w:rsidR="004A3AC6">
        <w:t>generated</w:t>
      </w:r>
      <w:r w:rsidR="00B6706D">
        <w:t xml:space="preserve"> </w:t>
      </w:r>
      <w:r w:rsidR="004A3AC6">
        <w:t xml:space="preserve">for each watershed </w:t>
      </w:r>
      <w:r w:rsidR="00ED0DA3">
        <w:t>using the Thiessen polygons method</w:t>
      </w:r>
      <w:r w:rsidR="00D079FD">
        <w:t xml:space="preserve">. </w:t>
      </w:r>
      <w:r w:rsidR="00481A07">
        <w:t xml:space="preserve">This </w:t>
      </w:r>
      <w:r w:rsidR="00842F41">
        <w:t>averaged rainfall series replaced the eight original ones to</w:t>
      </w:r>
      <w:r w:rsidR="00481A07">
        <w:t xml:space="preserve"> reduce the dimensionality of the dataset</w:t>
      </w:r>
      <w:r w:rsidR="00404370">
        <w:t>, which</w:t>
      </w:r>
      <w:r w:rsidR="00481A07">
        <w:t xml:space="preserve"> </w:t>
      </w:r>
      <w:r w:rsidR="00DE5D44">
        <w:t>i</w:t>
      </w:r>
      <w:r w:rsidR="00830E38">
        <w:t>ncrease</w:t>
      </w:r>
      <w:r w:rsidR="00DE5D44">
        <w:t>s</w:t>
      </w:r>
      <w:r w:rsidR="00830E38">
        <w:t xml:space="preserve"> model performance while reducing overfitting (Vilaseca et al., 2023). </w:t>
      </w:r>
      <w:r w:rsidR="00404370">
        <w:t>In addition</w:t>
      </w:r>
      <w:r w:rsidR="00FE7EA8">
        <w:t>,</w:t>
      </w:r>
      <w:r w:rsidR="00404370">
        <w:t xml:space="preserve"> </w:t>
      </w:r>
      <w:r w:rsidR="000B456F">
        <w:t>a series of 7-day accumulated rainfall</w:t>
      </w:r>
      <w:r w:rsidR="008900B0">
        <w:t xml:space="preserve"> (</w:t>
      </w:r>
      <w:proofErr w:type="spellStart"/>
      <w:r w:rsidR="008900B0" w:rsidRPr="000B456F">
        <w:rPr>
          <w:i/>
          <w:iCs/>
        </w:rPr>
        <w:t>MAP</w:t>
      </w:r>
      <w:r w:rsidR="008900B0">
        <w:rPr>
          <w:i/>
          <w:iCs/>
          <w:vertAlign w:val="subscript"/>
        </w:rPr>
        <w:t>accum</w:t>
      </w:r>
      <w:proofErr w:type="spellEnd"/>
      <w:r w:rsidR="008900B0">
        <w:t>)</w:t>
      </w:r>
      <w:r w:rsidR="000B456F">
        <w:t xml:space="preserve"> was calculated from the </w:t>
      </w:r>
      <w:r w:rsidR="000B456F" w:rsidRPr="000B456F">
        <w:rPr>
          <w:i/>
          <w:iCs/>
        </w:rPr>
        <w:t>MAP</w:t>
      </w:r>
      <w:r w:rsidR="000B456F">
        <w:rPr>
          <w:i/>
          <w:iCs/>
        </w:rPr>
        <w:t xml:space="preserve"> </w:t>
      </w:r>
      <w:r w:rsidR="000B456F">
        <w:t xml:space="preserve">series to be introduced </w:t>
      </w:r>
      <w:r w:rsidR="00D2522B">
        <w:t xml:space="preserve">as a </w:t>
      </w:r>
      <w:r w:rsidR="00D2522B" w:rsidRPr="00301FF8">
        <w:rPr>
          <w:i/>
        </w:rPr>
        <w:t>proxy</w:t>
      </w:r>
      <w:r w:rsidR="00D2522B">
        <w:t xml:space="preserve"> </w:t>
      </w:r>
      <w:r w:rsidR="00F13A1B">
        <w:t>of</w:t>
      </w:r>
      <w:r w:rsidR="00D2522B">
        <w:t xml:space="preserve"> the antecedent moisture state of the watershed</w:t>
      </w:r>
      <w:r w:rsidR="00FE7EA8">
        <w:t xml:space="preserve">. Lastly, </w:t>
      </w:r>
      <w:r w:rsidR="009A5DE9">
        <w:t>time-</w:t>
      </w:r>
      <w:r w:rsidR="00FE7EA8">
        <w:t>lagged discharge time series</w:t>
      </w:r>
      <w:r w:rsidR="0065060D">
        <w:t xml:space="preserve"> of 1</w:t>
      </w:r>
      <w:r w:rsidR="0031374A">
        <w:t xml:space="preserve"> (</w:t>
      </w:r>
      <w:r w:rsidR="0031374A" w:rsidRPr="0031374A">
        <w:rPr>
          <w:i/>
          <w:iCs/>
        </w:rPr>
        <w:t>Q</w:t>
      </w:r>
      <w:r w:rsidR="0031374A" w:rsidRPr="0031374A">
        <w:rPr>
          <w:i/>
          <w:iCs/>
          <w:vertAlign w:val="subscript"/>
        </w:rPr>
        <w:t>t-1</w:t>
      </w:r>
      <w:r w:rsidR="0031374A">
        <w:t>)</w:t>
      </w:r>
      <w:r w:rsidR="0065060D">
        <w:t xml:space="preserve"> and 2 days</w:t>
      </w:r>
      <w:r w:rsidR="0031374A">
        <w:t xml:space="preserve"> (</w:t>
      </w:r>
      <w:r w:rsidR="0031374A" w:rsidRPr="0031374A">
        <w:rPr>
          <w:i/>
          <w:iCs/>
        </w:rPr>
        <w:t>Q</w:t>
      </w:r>
      <w:r w:rsidR="0031374A" w:rsidRPr="0031374A">
        <w:rPr>
          <w:i/>
          <w:iCs/>
          <w:vertAlign w:val="subscript"/>
        </w:rPr>
        <w:t>t-</w:t>
      </w:r>
      <w:r w:rsidR="0031374A">
        <w:rPr>
          <w:i/>
          <w:iCs/>
          <w:vertAlign w:val="subscript"/>
        </w:rPr>
        <w:t>2</w:t>
      </w:r>
      <w:r w:rsidR="0031374A">
        <w:t>)</w:t>
      </w:r>
      <w:r w:rsidR="00FE7EA8">
        <w:t xml:space="preserve"> were </w:t>
      </w:r>
      <w:r w:rsidR="005475F9">
        <w:t>also introduced</w:t>
      </w:r>
      <w:r w:rsidR="0065060D">
        <w:t xml:space="preserve"> as model inputs.</w:t>
      </w:r>
      <w:r w:rsidR="001B56D3">
        <w:t xml:space="preserve"> The two sets of data </w:t>
      </w:r>
      <w:r w:rsidR="00EB0809">
        <w:t>that were built included spatially averaged rainfall, its 7-day accumulation</w:t>
      </w:r>
      <w:r w:rsidR="00F5634E">
        <w:t xml:space="preserve"> and maximum and minimum temperatures, while one of them also included </w:t>
      </w:r>
      <w:r w:rsidR="00140BCE">
        <w:t>the two series of lagged discharges, as show</w:t>
      </w:r>
      <w:r w:rsidR="009A5DE9">
        <w:t>n</w:t>
      </w:r>
      <w:r w:rsidR="00140BCE">
        <w:t xml:space="preserve"> </w:t>
      </w:r>
      <w:r w:rsidR="00140BCE" w:rsidRPr="00D0754A">
        <w:t xml:space="preserve">in </w:t>
      </w:r>
      <w:r w:rsidR="00D0754A" w:rsidRPr="00D0754A">
        <w:fldChar w:fldCharType="begin"/>
      </w:r>
      <w:r w:rsidR="00D0754A" w:rsidRPr="00D0754A">
        <w:instrText xml:space="preserve"> REF _Ref164082595 \h </w:instrText>
      </w:r>
      <w:r w:rsidR="00D0754A" w:rsidRPr="00D0754A">
        <w:instrText xml:space="preserve"> \* MERGEFORMAT </w:instrText>
      </w:r>
      <w:r w:rsidR="00D0754A" w:rsidRPr="00D0754A">
        <w:fldChar w:fldCharType="separate"/>
      </w:r>
      <w:r w:rsidR="00D0754A" w:rsidRPr="00D0754A">
        <w:t xml:space="preserve">Table </w:t>
      </w:r>
      <w:r w:rsidR="00D0754A" w:rsidRPr="00D0754A">
        <w:rPr>
          <w:noProof/>
        </w:rPr>
        <w:t>1</w:t>
      </w:r>
      <w:r w:rsidR="00D0754A" w:rsidRPr="00D0754A">
        <w:fldChar w:fldCharType="end"/>
      </w:r>
      <w:r w:rsidR="00140BCE">
        <w:t>.</w:t>
      </w:r>
    </w:p>
    <w:p w14:paraId="30FAB07E" w14:textId="50F3D44C" w:rsidR="00EB1116" w:rsidRDefault="00EB1116" w:rsidP="00EB1116">
      <w:pPr>
        <w:pStyle w:val="IAHRtabletitle"/>
      </w:pPr>
      <w:bookmarkStart w:id="1" w:name="_Ref164082595"/>
      <w:r w:rsidRPr="00F148FA">
        <w:rPr>
          <w:b/>
          <w:bCs/>
        </w:rPr>
        <w:t xml:space="preserve">Table </w:t>
      </w:r>
      <w:r w:rsidRPr="00F148FA">
        <w:rPr>
          <w:b/>
          <w:bCs/>
        </w:rPr>
        <w:fldChar w:fldCharType="begin"/>
      </w:r>
      <w:r w:rsidRPr="00F148FA">
        <w:rPr>
          <w:b/>
          <w:bCs/>
        </w:rPr>
        <w:instrText xml:space="preserve"> SEQ Table \* ARABIC </w:instrText>
      </w:r>
      <w:r w:rsidRPr="00F148FA">
        <w:rPr>
          <w:b/>
          <w:bCs/>
        </w:rPr>
        <w:fldChar w:fldCharType="separate"/>
      </w:r>
      <w:r w:rsidRPr="00F148FA">
        <w:rPr>
          <w:b/>
          <w:bCs/>
          <w:noProof/>
        </w:rPr>
        <w:t>1</w:t>
      </w:r>
      <w:r w:rsidRPr="00F148FA">
        <w:rPr>
          <w:b/>
          <w:bCs/>
        </w:rPr>
        <w:fldChar w:fldCharType="end"/>
      </w:r>
      <w:bookmarkEnd w:id="1"/>
      <w:r w:rsidRPr="00F148FA">
        <w:rPr>
          <w:b/>
          <w:bCs/>
        </w:rPr>
        <w:t>.</w:t>
      </w:r>
      <w:r>
        <w:t xml:space="preserve"> </w:t>
      </w:r>
      <w:r w:rsidRPr="00F148FA">
        <w:t>Input datasets for the models.</w:t>
      </w:r>
    </w:p>
    <w:tbl>
      <w:tblPr>
        <w:tblW w:w="5820" w:type="dxa"/>
        <w:jc w:val="center"/>
        <w:tblCellMar>
          <w:left w:w="70" w:type="dxa"/>
          <w:right w:w="70" w:type="dxa"/>
        </w:tblCellMar>
        <w:tblLook w:val="04A0" w:firstRow="1" w:lastRow="0" w:firstColumn="1" w:lastColumn="0" w:noHBand="0" w:noVBand="1"/>
      </w:tblPr>
      <w:tblGrid>
        <w:gridCol w:w="1200"/>
        <w:gridCol w:w="3060"/>
        <w:gridCol w:w="1560"/>
      </w:tblGrid>
      <w:tr w:rsidR="00EB1116" w:rsidRPr="00F3568B" w14:paraId="77F12E33" w14:textId="77777777" w:rsidTr="00094B07">
        <w:trPr>
          <w:trHeight w:val="315"/>
          <w:jc w:val="center"/>
        </w:trPr>
        <w:tc>
          <w:tcPr>
            <w:tcW w:w="12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51942A" w14:textId="77777777" w:rsidR="00EB1116" w:rsidRPr="00F3568B" w:rsidRDefault="00EB1116" w:rsidP="003307B6">
            <w:pPr>
              <w:pStyle w:val="IAHRtabletext"/>
            </w:pPr>
            <w:r w:rsidRPr="00F3568B">
              <w:t xml:space="preserve">Dataset </w:t>
            </w:r>
          </w:p>
        </w:tc>
        <w:tc>
          <w:tcPr>
            <w:tcW w:w="3060" w:type="dxa"/>
            <w:tcBorders>
              <w:top w:val="single" w:sz="8" w:space="0" w:color="auto"/>
              <w:left w:val="nil"/>
              <w:bottom w:val="single" w:sz="8" w:space="0" w:color="auto"/>
              <w:right w:val="single" w:sz="4" w:space="0" w:color="auto"/>
            </w:tcBorders>
            <w:shd w:val="clear" w:color="auto" w:fill="auto"/>
            <w:noWrap/>
            <w:vAlign w:val="center"/>
            <w:hideMark/>
          </w:tcPr>
          <w:p w14:paraId="00ADC031" w14:textId="77777777" w:rsidR="00EB1116" w:rsidRPr="00F3568B" w:rsidRDefault="00EB1116" w:rsidP="003307B6">
            <w:pPr>
              <w:pStyle w:val="IAHRtabletext"/>
            </w:pPr>
            <w:r w:rsidRPr="00F3568B">
              <w:t>Input variables</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14:paraId="24B2BC5E" w14:textId="77777777" w:rsidR="00EB1116" w:rsidRPr="00F3568B" w:rsidRDefault="00EB1116" w:rsidP="003307B6">
            <w:pPr>
              <w:pStyle w:val="IAHRtabletext"/>
            </w:pPr>
            <w:r w:rsidRPr="00F3568B">
              <w:t>Output variable</w:t>
            </w:r>
          </w:p>
        </w:tc>
      </w:tr>
      <w:tr w:rsidR="00EB1116" w:rsidRPr="00F3568B" w14:paraId="7F56734A" w14:textId="77777777" w:rsidTr="00094B07">
        <w:trPr>
          <w:trHeight w:val="342"/>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A864DE0" w14:textId="77777777" w:rsidR="00EB1116" w:rsidRPr="00F3568B" w:rsidRDefault="00EB1116" w:rsidP="003307B6">
            <w:pPr>
              <w:pStyle w:val="IAHRtabletext"/>
            </w:pPr>
            <w:r w:rsidRPr="00F3568B">
              <w:t>Dataset A</w:t>
            </w:r>
          </w:p>
        </w:tc>
        <w:tc>
          <w:tcPr>
            <w:tcW w:w="3060" w:type="dxa"/>
            <w:tcBorders>
              <w:top w:val="nil"/>
              <w:left w:val="nil"/>
              <w:bottom w:val="single" w:sz="4" w:space="0" w:color="auto"/>
              <w:right w:val="single" w:sz="4" w:space="0" w:color="auto"/>
            </w:tcBorders>
            <w:shd w:val="clear" w:color="auto" w:fill="auto"/>
            <w:noWrap/>
            <w:vAlign w:val="center"/>
            <w:hideMark/>
          </w:tcPr>
          <w:p w14:paraId="0D668FD3" w14:textId="77777777" w:rsidR="00EB1116" w:rsidRPr="00F3568B" w:rsidRDefault="00EB1116" w:rsidP="003307B6">
            <w:pPr>
              <w:pStyle w:val="IAHRtabletext"/>
            </w:pPr>
            <w:r w:rsidRPr="00C56A93">
              <w:t>MAP</w:t>
            </w:r>
            <w:r w:rsidRPr="00F3568B">
              <w:t xml:space="preserve">, </w:t>
            </w:r>
            <w:proofErr w:type="spellStart"/>
            <w:r w:rsidRPr="00C56A93">
              <w:t>MAP</w:t>
            </w:r>
            <w:r w:rsidRPr="00C56A93">
              <w:rPr>
                <w:vertAlign w:val="subscript"/>
              </w:rPr>
              <w:t>accum</w:t>
            </w:r>
            <w:proofErr w:type="spellEnd"/>
            <w:r w:rsidRPr="00F3568B">
              <w:t xml:space="preserve">, </w:t>
            </w:r>
            <w:proofErr w:type="spellStart"/>
            <w:r w:rsidRPr="00C56A93">
              <w:t>Tmax</w:t>
            </w:r>
            <w:proofErr w:type="spellEnd"/>
            <w:r w:rsidRPr="00F3568B">
              <w:t xml:space="preserve">, </w:t>
            </w:r>
            <w:proofErr w:type="spellStart"/>
            <w:r w:rsidRPr="00C56A93">
              <w:t>Tmin</w:t>
            </w:r>
            <w:proofErr w:type="spellEnd"/>
          </w:p>
        </w:tc>
        <w:tc>
          <w:tcPr>
            <w:tcW w:w="1560" w:type="dxa"/>
            <w:tcBorders>
              <w:top w:val="nil"/>
              <w:left w:val="nil"/>
              <w:bottom w:val="single" w:sz="4" w:space="0" w:color="auto"/>
              <w:right w:val="single" w:sz="8" w:space="0" w:color="auto"/>
            </w:tcBorders>
            <w:shd w:val="clear" w:color="auto" w:fill="auto"/>
            <w:noWrap/>
            <w:vAlign w:val="center"/>
            <w:hideMark/>
          </w:tcPr>
          <w:p w14:paraId="32A85876" w14:textId="77777777" w:rsidR="00EB1116" w:rsidRPr="00116CEE" w:rsidRDefault="00EB1116" w:rsidP="003307B6">
            <w:pPr>
              <w:pStyle w:val="IAHRtabletext"/>
            </w:pPr>
            <w:r w:rsidRPr="00116CEE">
              <w:t>Q</w:t>
            </w:r>
          </w:p>
        </w:tc>
      </w:tr>
      <w:tr w:rsidR="00EB1116" w:rsidRPr="00F3568B" w14:paraId="18AC084F" w14:textId="77777777" w:rsidTr="00094B07">
        <w:trPr>
          <w:trHeight w:val="300"/>
          <w:jc w:val="center"/>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14:paraId="3291E894" w14:textId="77777777" w:rsidR="00EB1116" w:rsidRPr="00F3568B" w:rsidRDefault="00EB1116" w:rsidP="003307B6">
            <w:pPr>
              <w:pStyle w:val="IAHRtabletext"/>
            </w:pPr>
            <w:r w:rsidRPr="00F3568B">
              <w:t>Dataset B</w:t>
            </w:r>
          </w:p>
        </w:tc>
        <w:tc>
          <w:tcPr>
            <w:tcW w:w="3060" w:type="dxa"/>
            <w:tcBorders>
              <w:top w:val="nil"/>
              <w:left w:val="nil"/>
              <w:bottom w:val="single" w:sz="8" w:space="0" w:color="auto"/>
              <w:right w:val="single" w:sz="4" w:space="0" w:color="auto"/>
            </w:tcBorders>
            <w:shd w:val="clear" w:color="auto" w:fill="auto"/>
            <w:noWrap/>
            <w:vAlign w:val="center"/>
            <w:hideMark/>
          </w:tcPr>
          <w:p w14:paraId="229431A3" w14:textId="77777777" w:rsidR="00EB1116" w:rsidRPr="00F3568B" w:rsidRDefault="00EB1116" w:rsidP="003307B6">
            <w:pPr>
              <w:pStyle w:val="IAHRtabletext"/>
            </w:pPr>
            <w:r w:rsidRPr="00C56A93">
              <w:t>MAP</w:t>
            </w:r>
            <w:r w:rsidRPr="00F3568B">
              <w:t xml:space="preserve">, </w:t>
            </w:r>
            <w:proofErr w:type="spellStart"/>
            <w:r w:rsidRPr="00C56A93">
              <w:t>MAP</w:t>
            </w:r>
            <w:r w:rsidRPr="00C56A93">
              <w:rPr>
                <w:vertAlign w:val="subscript"/>
              </w:rPr>
              <w:t>accum</w:t>
            </w:r>
            <w:proofErr w:type="spellEnd"/>
            <w:r w:rsidRPr="00F3568B">
              <w:t xml:space="preserve">, </w:t>
            </w:r>
            <w:proofErr w:type="spellStart"/>
            <w:r w:rsidRPr="00C56A93">
              <w:t>Tmax</w:t>
            </w:r>
            <w:proofErr w:type="spellEnd"/>
            <w:r w:rsidRPr="00F3568B">
              <w:t xml:space="preserve">, </w:t>
            </w:r>
            <w:proofErr w:type="spellStart"/>
            <w:r w:rsidRPr="00C56A93">
              <w:t>Tmin</w:t>
            </w:r>
            <w:proofErr w:type="spellEnd"/>
            <w:r w:rsidRPr="00F3568B">
              <w:t xml:space="preserve">, </w:t>
            </w:r>
            <w:r w:rsidRPr="00C56A93">
              <w:t>Q</w:t>
            </w:r>
            <w:r w:rsidRPr="00C56A93">
              <w:rPr>
                <w:vertAlign w:val="subscript"/>
              </w:rPr>
              <w:t>t-1</w:t>
            </w:r>
            <w:r w:rsidRPr="00F3568B">
              <w:t>,</w:t>
            </w:r>
            <w:r>
              <w:t xml:space="preserve"> </w:t>
            </w:r>
            <w:r w:rsidRPr="00C56A93">
              <w:t>Q</w:t>
            </w:r>
            <w:r w:rsidRPr="00C56A93">
              <w:rPr>
                <w:vertAlign w:val="subscript"/>
              </w:rPr>
              <w:t>t-2</w:t>
            </w:r>
          </w:p>
        </w:tc>
        <w:tc>
          <w:tcPr>
            <w:tcW w:w="1560" w:type="dxa"/>
            <w:tcBorders>
              <w:top w:val="nil"/>
              <w:left w:val="nil"/>
              <w:bottom w:val="single" w:sz="8" w:space="0" w:color="auto"/>
              <w:right w:val="single" w:sz="8" w:space="0" w:color="auto"/>
            </w:tcBorders>
            <w:shd w:val="clear" w:color="auto" w:fill="auto"/>
            <w:noWrap/>
            <w:vAlign w:val="center"/>
            <w:hideMark/>
          </w:tcPr>
          <w:p w14:paraId="2A40F2B6" w14:textId="2E9CEDBA" w:rsidR="00EB1116" w:rsidRPr="00F3568B" w:rsidRDefault="00116CEE" w:rsidP="003307B6">
            <w:pPr>
              <w:pStyle w:val="IAHRtabletext"/>
            </w:pPr>
            <w:r w:rsidRPr="00116CEE">
              <w:t>Q</w:t>
            </w:r>
          </w:p>
        </w:tc>
      </w:tr>
    </w:tbl>
    <w:p w14:paraId="17479A64" w14:textId="77777777" w:rsidR="00EB1116" w:rsidRDefault="00EB1116" w:rsidP="00EB1116">
      <w:pPr>
        <w:pStyle w:val="IAHRtext"/>
      </w:pPr>
    </w:p>
    <w:p w14:paraId="3478AA5F" w14:textId="4EADBEF3" w:rsidR="00333FFD" w:rsidRPr="00BF67B2" w:rsidRDefault="000E2B80" w:rsidP="00333FFD">
      <w:pPr>
        <w:pStyle w:val="IAHR-heading2"/>
      </w:pPr>
      <w:r w:rsidRPr="00BF67B2">
        <w:t>Random Forest</w:t>
      </w:r>
      <w:r w:rsidR="008835AB" w:rsidRPr="00BF67B2">
        <w:t xml:space="preserve"> models</w:t>
      </w:r>
    </w:p>
    <w:p w14:paraId="4A9F2EF8" w14:textId="1816CEBD" w:rsidR="004100B3" w:rsidRPr="00BF67B2" w:rsidRDefault="000E2B80" w:rsidP="004100B3">
      <w:pPr>
        <w:pStyle w:val="IAHRtext"/>
      </w:pPr>
      <w:r w:rsidRPr="00BF67B2">
        <w:t xml:space="preserve">RF </w:t>
      </w:r>
      <w:r w:rsidR="00586363" w:rsidRPr="00BF67B2">
        <w:t>(</w:t>
      </w:r>
      <w:proofErr w:type="spellStart"/>
      <w:r w:rsidR="00586363" w:rsidRPr="00BF67B2">
        <w:t>Breiman</w:t>
      </w:r>
      <w:proofErr w:type="spellEnd"/>
      <w:r w:rsidR="00586363" w:rsidRPr="00BF67B2">
        <w:t xml:space="preserve">, 2001) is a widely used tree-based machine learning algorithm. </w:t>
      </w:r>
      <w:r w:rsidR="00BF67B2" w:rsidRPr="00BF67B2">
        <w:t xml:space="preserve">It </w:t>
      </w:r>
      <w:r w:rsidR="00EE5F8E" w:rsidRPr="00BF67B2">
        <w:t>is</w:t>
      </w:r>
      <w:r w:rsidR="00BF67B2" w:rsidRPr="00BF67B2">
        <w:t xml:space="preserve"> a</w:t>
      </w:r>
      <w:r w:rsidR="00181F14">
        <w:t xml:space="preserve">n ensemble learning </w:t>
      </w:r>
      <w:r w:rsidR="001C3A40">
        <w:t>method</w:t>
      </w:r>
      <w:r w:rsidR="003423B4">
        <w:t xml:space="preserve"> since it consists of a </w:t>
      </w:r>
      <w:r w:rsidR="00057505">
        <w:t xml:space="preserve">set of </w:t>
      </w:r>
      <w:r w:rsidR="00557440">
        <w:t>decision</w:t>
      </w:r>
      <w:r w:rsidR="00057505">
        <w:t xml:space="preserve"> trees</w:t>
      </w:r>
      <w:r w:rsidR="005202DE">
        <w:t xml:space="preserve"> individually</w:t>
      </w:r>
      <w:r w:rsidR="000765F0">
        <w:t xml:space="preserve"> trained with different subsets of the training dataset</w:t>
      </w:r>
      <w:r w:rsidR="006D3AE0">
        <w:t xml:space="preserve">, </w:t>
      </w:r>
      <w:r w:rsidR="005202DE">
        <w:t>which are</w:t>
      </w:r>
      <w:r w:rsidR="002E60B2">
        <w:t xml:space="preserve"> </w:t>
      </w:r>
      <w:r w:rsidR="009A4368">
        <w:t>generated through bootstrapping</w:t>
      </w:r>
      <w:r w:rsidR="002E60B2">
        <w:t xml:space="preserve">. </w:t>
      </w:r>
      <w:r w:rsidR="00EC294D">
        <w:t xml:space="preserve">When predicting, the output of the RF model is the mean of the outputs of each tree. </w:t>
      </w:r>
      <w:r w:rsidR="00FB7D03">
        <w:t xml:space="preserve">This </w:t>
      </w:r>
      <w:r w:rsidR="00C408D8">
        <w:t>ensemble</w:t>
      </w:r>
      <w:r w:rsidR="008E0F91">
        <w:t xml:space="preserve"> scheme has been proven to overcome the </w:t>
      </w:r>
      <w:r w:rsidR="00485405">
        <w:t xml:space="preserve">bias problems presented by </w:t>
      </w:r>
      <w:r w:rsidR="00C408D8">
        <w:t>decision</w:t>
      </w:r>
      <w:r w:rsidR="00485405">
        <w:t xml:space="preserve"> trees trained from the entire dataset.</w:t>
      </w:r>
      <w:r w:rsidR="004B78C4">
        <w:t xml:space="preserve"> Due to </w:t>
      </w:r>
      <w:r w:rsidR="00DA5CAA">
        <w:t>their simplicity</w:t>
      </w:r>
      <w:r w:rsidR="004B78C4">
        <w:t>, quick</w:t>
      </w:r>
      <w:r w:rsidR="001128F4">
        <w:t>ness of</w:t>
      </w:r>
      <w:r w:rsidR="004B78C4">
        <w:t xml:space="preserve"> implementation and interpretability, RF models are commonly applied to hydrological modeling, and that is the main reason to include them in the present study.</w:t>
      </w:r>
      <w:r w:rsidR="00A972D0">
        <w:t xml:space="preserve"> Implementation was carried out in python using the scik</w:t>
      </w:r>
      <w:r w:rsidR="00465FDD">
        <w:t>it-learn library (</w:t>
      </w:r>
      <w:r w:rsidR="00335D91">
        <w:t>Pedregosa et al., 2011)</w:t>
      </w:r>
    </w:p>
    <w:p w14:paraId="33BD0F3F" w14:textId="5F9962D2" w:rsidR="005F7790" w:rsidRDefault="005F7790" w:rsidP="00333FFD">
      <w:pPr>
        <w:pStyle w:val="IAHR-heading2"/>
      </w:pPr>
      <w:r>
        <w:t>Classification of discharge observations</w:t>
      </w:r>
    </w:p>
    <w:p w14:paraId="71AB2957" w14:textId="738882BB" w:rsidR="00201BA2" w:rsidRDefault="00073F16" w:rsidP="00073F16">
      <w:pPr>
        <w:pStyle w:val="IAHRtext"/>
      </w:pPr>
      <w:r w:rsidRPr="00073F16">
        <w:t>Events were classified with two possible alternatives: peaks-over-threshold (</w:t>
      </w:r>
      <w:r w:rsidRPr="006645CE">
        <w:t>POT</w:t>
      </w:r>
      <w:r w:rsidRPr="00073F16">
        <w:t xml:space="preserve">) or </w:t>
      </w:r>
      <w:r w:rsidR="002960A1">
        <w:t>k</w:t>
      </w:r>
      <w:r w:rsidRPr="00073F16">
        <w:t>-</w:t>
      </w:r>
      <w:r w:rsidR="002960A1">
        <w:t>m</w:t>
      </w:r>
      <w:r w:rsidR="002960A1" w:rsidRPr="00073F16">
        <w:t>eans</w:t>
      </w:r>
      <w:r w:rsidRPr="00073F16">
        <w:t xml:space="preserve">. The POT classification consisted </w:t>
      </w:r>
      <w:r w:rsidR="00D0794B">
        <w:t>in the identification</w:t>
      </w:r>
      <w:r w:rsidRPr="00073F16">
        <w:t xml:space="preserve"> local maximums in the discharge series over a fixed threshold </w:t>
      </w:r>
      <w:r w:rsidR="00706E53">
        <w:t xml:space="preserve">with a value </w:t>
      </w:r>
      <w:r w:rsidR="00F958A9">
        <w:t xml:space="preserve">equivalent to the </w:t>
      </w:r>
      <w:r w:rsidR="00765581">
        <w:t>99</w:t>
      </w:r>
      <w:r w:rsidR="00765581" w:rsidRPr="00765581">
        <w:rPr>
          <w:vertAlign w:val="superscript"/>
        </w:rPr>
        <w:t>th</w:t>
      </w:r>
      <w:r w:rsidR="00765581">
        <w:t xml:space="preserve"> percentile of the </w:t>
      </w:r>
      <w:r w:rsidR="002960A1">
        <w:t xml:space="preserve">total </w:t>
      </w:r>
      <w:r w:rsidR="00706E53">
        <w:t xml:space="preserve">time </w:t>
      </w:r>
      <w:r w:rsidR="00765581">
        <w:t>series</w:t>
      </w:r>
      <w:r w:rsidRPr="00073F16">
        <w:t>. This led to a binary event classification where flood peaks represented the minority class. The alternative was using the k-means clustering algorithm</w:t>
      </w:r>
      <w:r w:rsidR="00EF6DBB">
        <w:t xml:space="preserve"> (</w:t>
      </w:r>
      <w:r w:rsidR="00F4125C">
        <w:t>Forgy, 196</w:t>
      </w:r>
      <w:r w:rsidR="00626822">
        <w:t>5</w:t>
      </w:r>
      <w:r w:rsidR="00F4125C">
        <w:t>; Lloyd, 1982</w:t>
      </w:r>
      <w:r w:rsidR="00EF6DBB">
        <w:t>)</w:t>
      </w:r>
      <w:r w:rsidRPr="00073F16">
        <w:t xml:space="preserve"> for unsupervised classification of the events.</w:t>
      </w:r>
      <w:r w:rsidR="008E3071">
        <w:t xml:space="preserve"> </w:t>
      </w:r>
      <w:r w:rsidR="00533A9B">
        <w:t xml:space="preserve">The algorithm requires </w:t>
      </w:r>
      <w:r w:rsidR="00BB62E5">
        <w:t>a number</w:t>
      </w:r>
      <w:r w:rsidR="0060128C">
        <w:t xml:space="preserve"> “k”</w:t>
      </w:r>
      <w:r w:rsidR="00BB62E5">
        <w:t xml:space="preserve"> of</w:t>
      </w:r>
      <w:r w:rsidR="00533A9B">
        <w:t xml:space="preserve"> </w:t>
      </w:r>
      <w:r w:rsidR="000372A2">
        <w:t>desired clusters</w:t>
      </w:r>
      <w:r w:rsidR="007C44F7">
        <w:t xml:space="preserve"> to be set beforehand</w:t>
      </w:r>
      <w:r w:rsidR="000372A2">
        <w:t>.</w:t>
      </w:r>
      <w:r w:rsidR="00BB62E5">
        <w:t xml:space="preserve"> It </w:t>
      </w:r>
      <w:r w:rsidR="00322790">
        <w:t>starts by generating</w:t>
      </w:r>
      <w:r w:rsidR="00BB62E5">
        <w:t xml:space="preserve"> </w:t>
      </w:r>
      <w:r w:rsidR="00E36084">
        <w:t xml:space="preserve">a set of “k” centroids, randomly located </w:t>
      </w:r>
      <w:r w:rsidR="00322790">
        <w:t>in the multi-dimensional space determined by the variables of the dataset. Then</w:t>
      </w:r>
      <w:r w:rsidR="00971718">
        <w:t>, it</w:t>
      </w:r>
      <w:r w:rsidR="00322790">
        <w:t xml:space="preserve"> optimizes </w:t>
      </w:r>
      <w:r w:rsidR="00971718">
        <w:t xml:space="preserve">the </w:t>
      </w:r>
      <w:r w:rsidR="00322790">
        <w:t xml:space="preserve">location of those </w:t>
      </w:r>
      <w:proofErr w:type="gramStart"/>
      <w:r w:rsidR="00322790">
        <w:t>centroids</w:t>
      </w:r>
      <w:proofErr w:type="gramEnd"/>
      <w:r w:rsidR="00FE3F6A">
        <w:t xml:space="preserve"> so they match</w:t>
      </w:r>
      <w:r w:rsidR="00D609FD">
        <w:t>,</w:t>
      </w:r>
      <w:r w:rsidR="00FE3F6A">
        <w:t xml:space="preserve"> </w:t>
      </w:r>
      <w:r w:rsidR="00D609FD">
        <w:t>in the best possible way, th</w:t>
      </w:r>
      <w:r w:rsidR="00FE3F6A">
        <w:t xml:space="preserve">e distribution of the </w:t>
      </w:r>
      <w:r w:rsidR="00D609FD">
        <w:t>observations</w:t>
      </w:r>
      <w:r w:rsidR="002D7D4E">
        <w:t xml:space="preserve"> </w:t>
      </w:r>
      <w:r w:rsidR="00D609FD">
        <w:t>which are</w:t>
      </w:r>
      <w:r w:rsidR="002D7D4E">
        <w:t xml:space="preserve"> </w:t>
      </w:r>
      <w:r w:rsidR="00105FED">
        <w:t xml:space="preserve">later </w:t>
      </w:r>
      <w:r w:rsidR="00D609FD">
        <w:t>classified</w:t>
      </w:r>
      <w:r w:rsidR="0086025B">
        <w:t xml:space="preserve"> according to their nearest centroid. </w:t>
      </w:r>
      <w:r w:rsidRPr="00073F16">
        <w:t>In this case, values of k = 2, 3, 4, or 5 were considered</w:t>
      </w:r>
      <w:r w:rsidR="00AD4AD7">
        <w:t xml:space="preserve">. Both </w:t>
      </w:r>
      <w:r w:rsidR="00695FF4">
        <w:t xml:space="preserve">classifying methodologies were </w:t>
      </w:r>
      <w:r w:rsidR="00FE00A8">
        <w:t>implemented in python, using the scikit-learn library</w:t>
      </w:r>
      <w:r w:rsidR="00CE647C">
        <w:t xml:space="preserve"> (Pedregosa et al, 2011)</w:t>
      </w:r>
      <w:r w:rsidR="00FE00A8">
        <w:t xml:space="preserve"> for the k-means algorithm. </w:t>
      </w:r>
    </w:p>
    <w:p w14:paraId="317E9F5B" w14:textId="322DB70F" w:rsidR="008835AB" w:rsidRDefault="008835AB" w:rsidP="00333FFD">
      <w:pPr>
        <w:pStyle w:val="IAHR-heading2"/>
      </w:pPr>
      <w:r>
        <w:t>Data augmentation algorithms</w:t>
      </w:r>
    </w:p>
    <w:p w14:paraId="7320B546" w14:textId="28BD467E" w:rsidR="00667519" w:rsidRDefault="004458CA" w:rsidP="004458CA">
      <w:pPr>
        <w:pStyle w:val="IAHRtext"/>
      </w:pPr>
      <w:r w:rsidRPr="004458CA">
        <w:t>Possible data augmentation algorithms included random sampling with replacement</w:t>
      </w:r>
      <w:r w:rsidR="00116CEE">
        <w:t xml:space="preserve"> (</w:t>
      </w:r>
      <w:r w:rsidR="00116CEE" w:rsidRPr="006645CE">
        <w:t>RRS</w:t>
      </w:r>
      <w:r w:rsidR="00116CEE">
        <w:t>)</w:t>
      </w:r>
      <w:r w:rsidRPr="004458CA">
        <w:t xml:space="preserve"> from the known high flow</w:t>
      </w:r>
      <w:r w:rsidR="002E4B89">
        <w:t xml:space="preserve"> </w:t>
      </w:r>
      <w:r w:rsidR="002E4B89" w:rsidRPr="004458CA">
        <w:t>events</w:t>
      </w:r>
      <w:r w:rsidRPr="004458CA">
        <w:t xml:space="preserve"> (minority class) or generation of new synthetic minority class events using four variants of the SMOTE algorithm: SMOTE</w:t>
      </w:r>
      <w:r w:rsidR="00760AE9">
        <w:t xml:space="preserve"> </w:t>
      </w:r>
      <w:r w:rsidR="00760AE9" w:rsidRPr="004458CA">
        <w:t>(Chawla et al., 2002)</w:t>
      </w:r>
      <w:r w:rsidRPr="004458CA">
        <w:t>, Borderline SMOTE (Han et al., 2005), SVM SMOTE (Nguyen et al., 2009) or ADASYN (He et al., 2008).</w:t>
      </w:r>
      <w:r w:rsidR="00C34C45">
        <w:t xml:space="preserve"> </w:t>
      </w:r>
      <w:r w:rsidR="00760AE9">
        <w:t xml:space="preserve">The </w:t>
      </w:r>
      <w:r w:rsidR="00196A55">
        <w:t xml:space="preserve">acronym SMOTE stands for Synthetic </w:t>
      </w:r>
      <w:r w:rsidR="004149D9">
        <w:t>Minority Over-Sampling Technique</w:t>
      </w:r>
      <w:r w:rsidR="00E72B92">
        <w:t>.</w:t>
      </w:r>
      <w:r w:rsidR="004149D9">
        <w:t xml:space="preserve"> </w:t>
      </w:r>
      <w:r w:rsidR="00E72B92">
        <w:t>I</w:t>
      </w:r>
      <w:r w:rsidR="004149D9">
        <w:t>t is, as its name suggests, an algorithm t</w:t>
      </w:r>
      <w:r w:rsidR="002E4B89">
        <w:t>hat</w:t>
      </w:r>
      <w:r w:rsidR="004149D9">
        <w:t xml:space="preserve"> generate</w:t>
      </w:r>
      <w:r w:rsidR="002E4B89">
        <w:t>s</w:t>
      </w:r>
      <w:r w:rsidR="004149D9">
        <w:t xml:space="preserve"> new synthetic observations</w:t>
      </w:r>
      <w:r w:rsidR="00E72B92">
        <w:t xml:space="preserve"> inside the multi-dimensional space </w:t>
      </w:r>
      <w:r w:rsidR="00C8148C">
        <w:t xml:space="preserve">determined by the original dataset. </w:t>
      </w:r>
      <w:r w:rsidR="002801A4">
        <w:t xml:space="preserve">In </w:t>
      </w:r>
      <w:r w:rsidR="00C95584">
        <w:t>our</w:t>
      </w:r>
      <w:r w:rsidR="002801A4">
        <w:t xml:space="preserve"> case, it is </w:t>
      </w:r>
      <w:r w:rsidR="00017EA7">
        <w:t>applied only to high-flow observations (</w:t>
      </w:r>
      <w:r w:rsidR="001B73E7">
        <w:t xml:space="preserve">minority class) to increase the volume of data in that range. The algorithm </w:t>
      </w:r>
      <w:r w:rsidR="000A293F">
        <w:t xml:space="preserve">works by randomly choosing an observation and </w:t>
      </w:r>
      <w:proofErr w:type="gramStart"/>
      <w:r w:rsidR="00FF7EA4">
        <w:t xml:space="preserve">a </w:t>
      </w:r>
      <w:r w:rsidR="00E815E0">
        <w:t>number of</w:t>
      </w:r>
      <w:proofErr w:type="gramEnd"/>
      <w:r w:rsidR="00E815E0">
        <w:t xml:space="preserve"> </w:t>
      </w:r>
      <w:r w:rsidR="000A293F">
        <w:t>nearest neighbors of it (</w:t>
      </w:r>
      <w:r w:rsidR="00FF7EA4">
        <w:t>3</w:t>
      </w:r>
      <w:r w:rsidR="00A9129C">
        <w:t xml:space="preserve"> in this case)</w:t>
      </w:r>
      <w:r w:rsidR="00FF7EA4">
        <w:t>. Then</w:t>
      </w:r>
      <w:r w:rsidR="00866E93">
        <w:t>,</w:t>
      </w:r>
      <w:r w:rsidR="00FF7EA4">
        <w:t xml:space="preserve"> one of </w:t>
      </w:r>
      <w:r w:rsidR="00172F1D">
        <w:t xml:space="preserve">those </w:t>
      </w:r>
      <w:r w:rsidR="00172F1D">
        <w:lastRenderedPageBreak/>
        <w:t>neighbors</w:t>
      </w:r>
      <w:r w:rsidR="00FF7EA4">
        <w:t xml:space="preserve"> is chosen</w:t>
      </w:r>
      <w:r w:rsidR="00E815E0">
        <w:t>,</w:t>
      </w:r>
      <w:r w:rsidR="00FF7EA4">
        <w:t xml:space="preserve"> and the synthetic observation is created </w:t>
      </w:r>
      <w:r w:rsidR="00866E93">
        <w:t xml:space="preserve">at </w:t>
      </w:r>
      <w:r w:rsidR="004760CD">
        <w:t>a random point of</w:t>
      </w:r>
      <w:r w:rsidR="00FF7EA4">
        <w:t xml:space="preserve"> the line determined by </w:t>
      </w:r>
      <w:r w:rsidR="009E1DC3">
        <w:t>both selected</w:t>
      </w:r>
      <w:r w:rsidR="00FF7EA4">
        <w:t xml:space="preserve"> observations. </w:t>
      </w:r>
      <w:r w:rsidR="00667519">
        <w:t>This procedure is repeated until the target amount of synthetic data is generated.</w:t>
      </w:r>
    </w:p>
    <w:p w14:paraId="3641D4ED" w14:textId="6B899359" w:rsidR="00A30610" w:rsidRDefault="00D168CD" w:rsidP="004458CA">
      <w:pPr>
        <w:pStyle w:val="IAHRtext"/>
      </w:pPr>
      <w:r>
        <w:t xml:space="preserve">SMOTE variants are modifications of the original </w:t>
      </w:r>
      <w:r w:rsidR="007B7A3D">
        <w:t>algorithm</w:t>
      </w:r>
      <w:r>
        <w:t xml:space="preserve">, </w:t>
      </w:r>
      <w:r w:rsidR="007B7A3D">
        <w:t xml:space="preserve">in </w:t>
      </w:r>
      <w:r>
        <w:t>which</w:t>
      </w:r>
      <w:r w:rsidR="007B7A3D">
        <w:t xml:space="preserve"> the observations to oversample are not selected randomly.</w:t>
      </w:r>
      <w:r w:rsidR="00251462">
        <w:t xml:space="preserve"> </w:t>
      </w:r>
      <w:r w:rsidR="007B7A3D">
        <w:t>Instead,</w:t>
      </w:r>
      <w:r w:rsidR="00D51321">
        <w:t xml:space="preserve"> certain zones of the multi-dimensional space</w:t>
      </w:r>
      <w:r w:rsidR="007B7A3D">
        <w:t xml:space="preserve"> are prioritized</w:t>
      </w:r>
      <w:r w:rsidR="00D51321">
        <w:t>.</w:t>
      </w:r>
      <w:r w:rsidR="007B7A3D">
        <w:t xml:space="preserve"> </w:t>
      </w:r>
      <w:r w:rsidR="00633337">
        <w:t xml:space="preserve">Borderline SMOTE </w:t>
      </w:r>
      <w:r w:rsidR="00866E93">
        <w:t>prioritizes</w:t>
      </w:r>
      <w:r w:rsidR="00633337">
        <w:t xml:space="preserve"> observations located </w:t>
      </w:r>
      <w:r w:rsidR="00A96D1A">
        <w:t xml:space="preserve">close to the classification border, </w:t>
      </w:r>
      <w:r w:rsidR="00866E93">
        <w:t xml:space="preserve">which </w:t>
      </w:r>
      <w:r w:rsidR="00A96D1A">
        <w:t>means those w</w:t>
      </w:r>
      <w:r w:rsidR="00724E71">
        <w:t>hose classification has uncertainty</w:t>
      </w:r>
      <w:r w:rsidR="00951D8E">
        <w:t>.</w:t>
      </w:r>
      <w:r w:rsidR="00264D83">
        <w:t xml:space="preserve"> SVM</w:t>
      </w:r>
      <w:r w:rsidR="006A4E55">
        <w:t xml:space="preserve"> </w:t>
      </w:r>
      <w:r w:rsidR="00264D83">
        <w:t xml:space="preserve">SMOTE is </w:t>
      </w:r>
      <w:r w:rsidR="006A4E55">
        <w:t xml:space="preserve">an improvement of Borderline SMOTE in which the </w:t>
      </w:r>
      <w:r w:rsidR="00361560">
        <w:t>nearest neighbors of the chosen observation are identified through the SVM</w:t>
      </w:r>
      <w:r w:rsidR="00A10405">
        <w:t xml:space="preserve"> (Support Vector Machine)</w:t>
      </w:r>
      <w:r w:rsidR="00361560">
        <w:t xml:space="preserve"> </w:t>
      </w:r>
      <w:r w:rsidR="00A10405">
        <w:t xml:space="preserve">algorithm, seeking near observations </w:t>
      </w:r>
      <w:r w:rsidR="00866E93">
        <w:t xml:space="preserve">that </w:t>
      </w:r>
      <w:r w:rsidR="008745BF">
        <w:t xml:space="preserve">are also part of the classification border. </w:t>
      </w:r>
      <w:r w:rsidR="004703EE">
        <w:t xml:space="preserve">Lastly, ADASYN (Adaptive Synthetic Sampling) </w:t>
      </w:r>
      <w:r w:rsidR="00271D25">
        <w:t xml:space="preserve">gives preference to the zones of the multi-dimensional space with less density of observations. </w:t>
      </w:r>
    </w:p>
    <w:p w14:paraId="015D3F55" w14:textId="1EF58BD8" w:rsidR="004458CA" w:rsidRDefault="004458CA" w:rsidP="004458CA">
      <w:pPr>
        <w:pStyle w:val="IAHRtext"/>
      </w:pPr>
      <w:r w:rsidRPr="004458CA">
        <w:t xml:space="preserve">Each augmentation algorithm was set to increase the amount of minority class events in a ratio of IR = N*/N, being </w:t>
      </w:r>
      <w:proofErr w:type="spellStart"/>
      <w:r w:rsidRPr="004458CA">
        <w:t>N</w:t>
      </w:r>
      <w:proofErr w:type="spellEnd"/>
      <w:r w:rsidRPr="004458CA">
        <w:t xml:space="preserve"> the number of events of such class prior to the data augmentation and N* said number after the augmentation. IR was set to take values </w:t>
      </w:r>
      <w:r w:rsidR="00EF1F20">
        <w:t>of</w:t>
      </w:r>
      <w:r w:rsidRPr="004458CA">
        <w:t xml:space="preserve"> IR = 1.5, 2.5, 5.</w:t>
      </w:r>
      <w:r w:rsidR="00CE647C">
        <w:t xml:space="preserve"> All the augmentation methods were performed using the </w:t>
      </w:r>
      <w:r w:rsidR="00EC4847">
        <w:t>imbalanced-learn python library</w:t>
      </w:r>
      <w:r w:rsidR="00072C3E">
        <w:t xml:space="preserve"> (Lemaitre et al., 2017)</w:t>
      </w:r>
      <w:r w:rsidR="00EC4847">
        <w:t xml:space="preserve">, </w:t>
      </w:r>
      <w:r w:rsidR="00072C3E">
        <w:t>except for</w:t>
      </w:r>
      <w:r w:rsidR="00EC4847">
        <w:t xml:space="preserve"> RRS, </w:t>
      </w:r>
      <w:r w:rsidR="00517AE6">
        <w:t>which was implemented using</w:t>
      </w:r>
      <w:r w:rsidR="0029525E">
        <w:t xml:space="preserve"> scikit-learn</w:t>
      </w:r>
      <w:r w:rsidR="00072C3E">
        <w:t xml:space="preserve"> (Pedregosa et al., 2011)</w:t>
      </w:r>
      <w:r w:rsidR="0029525E">
        <w:t>.</w:t>
      </w:r>
    </w:p>
    <w:p w14:paraId="79D2C677" w14:textId="57166919" w:rsidR="00A40686" w:rsidRDefault="005F7790" w:rsidP="00333FFD">
      <w:pPr>
        <w:pStyle w:val="IAHR-heading2"/>
      </w:pPr>
      <w:r>
        <w:t>Full w</w:t>
      </w:r>
      <w:r w:rsidR="00A40686">
        <w:t>orkflow description</w:t>
      </w:r>
    </w:p>
    <w:p w14:paraId="14151691" w14:textId="2B88EF07" w:rsidR="00C70609" w:rsidRDefault="00F539F4" w:rsidP="00F539F4">
      <w:pPr>
        <w:pStyle w:val="IAHRtext"/>
      </w:pPr>
      <w:r>
        <w:t xml:space="preserve">A series of </w:t>
      </w:r>
      <w:r w:rsidR="001328E4">
        <w:t>150</w:t>
      </w:r>
      <w:r>
        <w:t xml:space="preserve"> experiments were conducted per watershed, each of which consisted </w:t>
      </w:r>
      <w:r w:rsidR="00866E93">
        <w:t xml:space="preserve">of </w:t>
      </w:r>
      <w:r w:rsidR="004816C3">
        <w:t xml:space="preserve">the implementation </w:t>
      </w:r>
      <w:r>
        <w:t>of a</w:t>
      </w:r>
      <w:r w:rsidR="006F126A">
        <w:t>n</w:t>
      </w:r>
      <w:r>
        <w:t xml:space="preserve"> </w:t>
      </w:r>
      <w:r w:rsidR="00567AB6" w:rsidRPr="003F6B23">
        <w:t>RF</w:t>
      </w:r>
      <w:r>
        <w:t xml:space="preserve"> model</w:t>
      </w:r>
      <w:r w:rsidR="00C70609">
        <w:t xml:space="preserve"> through the following steps</w:t>
      </w:r>
      <w:r>
        <w:t>.</w:t>
      </w:r>
      <w:r w:rsidR="004B4F7E">
        <w:t xml:space="preserve"> </w:t>
      </w:r>
      <w:r w:rsidR="0009008A">
        <w:t>A</w:t>
      </w:r>
      <w:r w:rsidR="004B4F7E">
        <w:t xml:space="preserve"> graphical </w:t>
      </w:r>
      <w:r w:rsidR="00866E93">
        <w:t>schem</w:t>
      </w:r>
      <w:r w:rsidR="004B4F7E">
        <w:t>e</w:t>
      </w:r>
      <w:r w:rsidR="0009008A">
        <w:t xml:space="preserve"> is </w:t>
      </w:r>
      <w:r w:rsidR="0009008A" w:rsidRPr="00E44BAF">
        <w:t>shown in Figure 2</w:t>
      </w:r>
      <w:r w:rsidR="0009008A">
        <w:t xml:space="preserve"> for better understanding</w:t>
      </w:r>
      <w:r w:rsidR="004B4F7E">
        <w:t>.</w:t>
      </w:r>
    </w:p>
    <w:p w14:paraId="212A0C2A" w14:textId="18EB8477" w:rsidR="00BA4771" w:rsidRDefault="0085304A" w:rsidP="00BA4771">
      <w:pPr>
        <w:pStyle w:val="IAHRtext"/>
        <w:numPr>
          <w:ilvl w:val="0"/>
          <w:numId w:val="3"/>
        </w:numPr>
      </w:pPr>
      <w:r>
        <w:t>Define the</w:t>
      </w:r>
      <w:r w:rsidR="000A2CAF">
        <w:t xml:space="preserve"> dataset to use</w:t>
      </w:r>
      <w:r>
        <w:t xml:space="preserve"> </w:t>
      </w:r>
      <w:r w:rsidR="00E1163A">
        <w:t>from one of the two</w:t>
      </w:r>
      <w:r w:rsidR="004C71AA">
        <w:t xml:space="preserve"> input variable combinations </w:t>
      </w:r>
      <w:r w:rsidR="00E1163A">
        <w:t>presented in Table 1</w:t>
      </w:r>
      <w:r w:rsidR="00866E93">
        <w:t>.</w:t>
      </w:r>
      <w:r w:rsidR="004C71AA">
        <w:t xml:space="preserve"> </w:t>
      </w:r>
    </w:p>
    <w:p w14:paraId="14C6F17F" w14:textId="5E77741B" w:rsidR="00C74EA4" w:rsidRDefault="00D317B1" w:rsidP="00BA4771">
      <w:pPr>
        <w:pStyle w:val="IAHRtext"/>
        <w:numPr>
          <w:ilvl w:val="0"/>
          <w:numId w:val="3"/>
        </w:numPr>
      </w:pPr>
      <w:r>
        <w:t xml:space="preserve">Classify </w:t>
      </w:r>
      <w:r w:rsidR="005E000B">
        <w:t>each observation</w:t>
      </w:r>
      <w:r w:rsidR="00D60DB1">
        <w:t xml:space="preserve"> using one of the alternatives described in </w:t>
      </w:r>
      <w:r w:rsidR="00D60DB1" w:rsidRPr="00D60DB1">
        <w:rPr>
          <w:i/>
          <w:iCs/>
        </w:rPr>
        <w:t>3.3</w:t>
      </w:r>
      <w:r w:rsidR="00D60DB1">
        <w:t xml:space="preserve">: </w:t>
      </w:r>
      <w:r w:rsidR="006B7864">
        <w:t>POT</w:t>
      </w:r>
      <w:r w:rsidR="005E49C4">
        <w:t xml:space="preserve"> or </w:t>
      </w:r>
      <w:r w:rsidR="00C31304">
        <w:t>k</w:t>
      </w:r>
      <w:r w:rsidR="005E49C4">
        <w:t>-</w:t>
      </w:r>
      <w:r w:rsidR="00C31304">
        <w:t>means</w:t>
      </w:r>
      <w:r w:rsidR="00BB03DC">
        <w:t xml:space="preserve">, with </w:t>
      </w:r>
      <w:r w:rsidR="00C31304" w:rsidRPr="00DC532B">
        <w:rPr>
          <w:i/>
        </w:rPr>
        <w:t>k</w:t>
      </w:r>
      <w:r w:rsidR="00C31304">
        <w:t xml:space="preserve"> </w:t>
      </w:r>
      <w:r w:rsidR="00BB03DC">
        <w:t>taking values of 2, 3, 4</w:t>
      </w:r>
      <w:r w:rsidR="00866E93">
        <w:t>,</w:t>
      </w:r>
      <w:r w:rsidR="00BB03DC">
        <w:t xml:space="preserve"> or 5</w:t>
      </w:r>
      <w:r w:rsidR="005E49C4">
        <w:t>.</w:t>
      </w:r>
      <w:r w:rsidR="00EF2931" w:rsidRPr="00EF2931">
        <w:t xml:space="preserve"> </w:t>
      </w:r>
    </w:p>
    <w:p w14:paraId="3C87FF22" w14:textId="317C9E05" w:rsidR="00997BE4" w:rsidRDefault="005E49C4" w:rsidP="00BA4771">
      <w:pPr>
        <w:pStyle w:val="IAHRtext"/>
        <w:numPr>
          <w:ilvl w:val="0"/>
          <w:numId w:val="3"/>
        </w:numPr>
      </w:pPr>
      <w:r>
        <w:t>After the classification,</w:t>
      </w:r>
      <w:r w:rsidR="00EF2931">
        <w:t xml:space="preserve"> randomly split it into training and testing subsets with a 75/25 ratio</w:t>
      </w:r>
      <w:r>
        <w:t>.</w:t>
      </w:r>
    </w:p>
    <w:p w14:paraId="0B876908" w14:textId="00BE5DCD" w:rsidR="00721260" w:rsidRDefault="00DA17B9" w:rsidP="00721260">
      <w:pPr>
        <w:pStyle w:val="IAHRtext"/>
        <w:numPr>
          <w:ilvl w:val="0"/>
          <w:numId w:val="3"/>
        </w:numPr>
      </w:pPr>
      <w:r>
        <w:t xml:space="preserve">Perform the augmentation procedure for the </w:t>
      </w:r>
      <w:r w:rsidR="001823BD">
        <w:t xml:space="preserve">training subset, using one of the algorithms detailed in </w:t>
      </w:r>
      <w:r w:rsidR="001823BD" w:rsidRPr="001823BD">
        <w:rPr>
          <w:i/>
          <w:iCs/>
        </w:rPr>
        <w:t>3.4</w:t>
      </w:r>
      <w:r w:rsidR="00E504CD">
        <w:t xml:space="preserve"> (</w:t>
      </w:r>
      <w:r w:rsidR="00E338FF" w:rsidRPr="003F6B23">
        <w:t>R</w:t>
      </w:r>
      <w:r w:rsidR="00C464A6" w:rsidRPr="003F6B23">
        <w:t>RS,</w:t>
      </w:r>
      <w:r w:rsidR="00E338FF">
        <w:t xml:space="preserve"> </w:t>
      </w:r>
      <w:r w:rsidR="00E504CD">
        <w:t>SMOTE, Borderline SMOTE, SVM SMOTE</w:t>
      </w:r>
      <w:r w:rsidR="00866E93">
        <w:t>,</w:t>
      </w:r>
      <w:r w:rsidR="00E504CD">
        <w:t xml:space="preserve"> or ADASYN)</w:t>
      </w:r>
      <w:r w:rsidR="001823BD">
        <w:rPr>
          <w:i/>
          <w:iCs/>
        </w:rPr>
        <w:t xml:space="preserve"> </w:t>
      </w:r>
      <w:r w:rsidR="00623841">
        <w:t>to</w:t>
      </w:r>
      <w:r w:rsidR="0060269C">
        <w:t xml:space="preserve"> artificially</w:t>
      </w:r>
      <w:r w:rsidR="00623841">
        <w:t xml:space="preserve"> increase the </w:t>
      </w:r>
      <w:r w:rsidR="006B7864">
        <w:t>number</w:t>
      </w:r>
      <w:r w:rsidR="0060269C">
        <w:t xml:space="preserve"> of observations of the minority class (high flows)</w:t>
      </w:r>
      <w:r w:rsidR="00EA4F05">
        <w:t>, using a predefined IR</w:t>
      </w:r>
      <w:r w:rsidR="00721260">
        <w:t xml:space="preserve"> chosen</w:t>
      </w:r>
      <w:r w:rsidR="00EA4F05">
        <w:t xml:space="preserve"> between </w:t>
      </w:r>
      <w:r w:rsidR="004458CA">
        <w:t>1.5, 2.5 or 5</w:t>
      </w:r>
      <w:r w:rsidR="00721260">
        <w:t>.</w:t>
      </w:r>
    </w:p>
    <w:p w14:paraId="6C0F7A33" w14:textId="5E3959BA" w:rsidR="006B7864" w:rsidRDefault="00567AB6" w:rsidP="00BA4771">
      <w:pPr>
        <w:pStyle w:val="IAHRtext"/>
        <w:numPr>
          <w:ilvl w:val="0"/>
          <w:numId w:val="3"/>
        </w:numPr>
      </w:pPr>
      <w:r>
        <w:t>Train the RF model using the augmented</w:t>
      </w:r>
      <w:r w:rsidR="003500DB">
        <w:t xml:space="preserve"> training</w:t>
      </w:r>
      <w:r>
        <w:t xml:space="preserve"> dataset.</w:t>
      </w:r>
      <w:r w:rsidR="009E1D40" w:rsidRPr="009E1D40">
        <w:t xml:space="preserve"> </w:t>
      </w:r>
      <w:r w:rsidR="009E1D40">
        <w:t xml:space="preserve">During the training process, a selection of the Random Forest hyperparameters is optimized </w:t>
      </w:r>
      <w:r w:rsidR="006B25A3">
        <w:t xml:space="preserve">for Nash-Sutcliffe efficiency (NSE) </w:t>
      </w:r>
      <w:r w:rsidR="009E1D40">
        <w:t xml:space="preserve">using four-fold cross-validation and the genetic algorithm </w:t>
      </w:r>
      <w:proofErr w:type="spellStart"/>
      <w:r w:rsidR="009E1D40">
        <w:t>Optuna</w:t>
      </w:r>
      <w:proofErr w:type="spellEnd"/>
      <w:r w:rsidR="009E1D40">
        <w:t xml:space="preserve"> (Akiba et al., 2019), following the same </w:t>
      </w:r>
      <w:r w:rsidR="00971165">
        <w:t>procedure</w:t>
      </w:r>
      <w:r w:rsidR="009E1D40">
        <w:t xml:space="preserve"> described in Vilaseca et al. (2023).</w:t>
      </w:r>
      <w:r w:rsidR="006B25A3">
        <w:t xml:space="preserve"> </w:t>
      </w:r>
    </w:p>
    <w:p w14:paraId="421AAB5A" w14:textId="34C25C63" w:rsidR="003500DB" w:rsidRDefault="003500DB" w:rsidP="00BA4771">
      <w:pPr>
        <w:pStyle w:val="IAHRtext"/>
        <w:numPr>
          <w:ilvl w:val="0"/>
          <w:numId w:val="3"/>
        </w:numPr>
      </w:pPr>
      <w:r>
        <w:t xml:space="preserve">Evaluate the model by making predictions for the testing period and comparing them to the </w:t>
      </w:r>
      <w:r w:rsidR="00DD0D36">
        <w:t xml:space="preserve">observations in the testing dataset. </w:t>
      </w:r>
      <w:r w:rsidR="006B25A3">
        <w:t>Performance indicators are percent bias (PBIAS), ratio of mean squared error to standard deviation (RSR), NSE calculated for peak</w:t>
      </w:r>
      <w:r w:rsidR="004B4F7E">
        <w:t xml:space="preserve"> discharges</w:t>
      </w:r>
      <w:r w:rsidR="006B25A3">
        <w:t xml:space="preserve"> (</w:t>
      </w:r>
      <w:proofErr w:type="spellStart"/>
      <w:r w:rsidR="006B25A3">
        <w:t>pkNSE</w:t>
      </w:r>
      <w:proofErr w:type="spellEnd"/>
      <w:r w:rsidR="006B25A3">
        <w:t>), and NSE calculated for log-transformed flows (</w:t>
      </w:r>
      <w:proofErr w:type="spellStart"/>
      <w:r w:rsidR="006B25A3">
        <w:t>logNSE</w:t>
      </w:r>
      <w:proofErr w:type="spellEnd"/>
      <w:r w:rsidR="006B25A3">
        <w:t>).</w:t>
      </w:r>
    </w:p>
    <w:p w14:paraId="01B76E99" w14:textId="77777777" w:rsidR="00A94944" w:rsidRDefault="004B718E" w:rsidP="00A94944">
      <w:pPr>
        <w:pStyle w:val="IAHRtext"/>
        <w:keepNext/>
        <w:jc w:val="center"/>
      </w:pPr>
      <w:r>
        <w:rPr>
          <w:noProof/>
          <w:lang w:val="en-GB" w:eastAsia="en-GB"/>
        </w:rPr>
        <w:lastRenderedPageBreak/>
        <w:drawing>
          <wp:inline distT="0" distB="0" distL="0" distR="0" wp14:anchorId="75EDB876" wp14:editId="24B27624">
            <wp:extent cx="2766379" cy="5895602"/>
            <wp:effectExtent l="0" t="0" r="0" b="0"/>
            <wp:docPr id="14386084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08483"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6379" cy="5895602"/>
                    </a:xfrm>
                    <a:prstGeom prst="rect">
                      <a:avLst/>
                    </a:prstGeom>
                  </pic:spPr>
                </pic:pic>
              </a:graphicData>
            </a:graphic>
          </wp:inline>
        </w:drawing>
      </w:r>
    </w:p>
    <w:p w14:paraId="0F01397B" w14:textId="65455998" w:rsidR="004B718E" w:rsidRPr="00BE1DB8" w:rsidRDefault="00A94944" w:rsidP="00F6410B">
      <w:pPr>
        <w:pStyle w:val="IAHRfigurecaptio"/>
      </w:pPr>
      <w:r w:rsidRPr="00F6410B">
        <w:rPr>
          <w:b/>
          <w:bCs/>
        </w:rPr>
        <w:t xml:space="preserve">Figure </w:t>
      </w:r>
      <w:r w:rsidRPr="00F6410B">
        <w:rPr>
          <w:b/>
          <w:bCs/>
        </w:rPr>
        <w:fldChar w:fldCharType="begin"/>
      </w:r>
      <w:r w:rsidRPr="00F6410B">
        <w:rPr>
          <w:b/>
          <w:bCs/>
        </w:rPr>
        <w:instrText xml:space="preserve"> SEQ Figure \* ARABIC </w:instrText>
      </w:r>
      <w:r w:rsidRPr="00F6410B">
        <w:rPr>
          <w:b/>
          <w:bCs/>
        </w:rPr>
        <w:fldChar w:fldCharType="separate"/>
      </w:r>
      <w:r w:rsidR="00782835">
        <w:rPr>
          <w:b/>
          <w:bCs/>
          <w:noProof/>
        </w:rPr>
        <w:t>2</w:t>
      </w:r>
      <w:r w:rsidRPr="00F6410B">
        <w:rPr>
          <w:b/>
          <w:bCs/>
        </w:rPr>
        <w:fldChar w:fldCharType="end"/>
      </w:r>
      <w:r w:rsidRPr="00BE1DB8">
        <w:t xml:space="preserve">. </w:t>
      </w:r>
      <w:r w:rsidR="00BE1DB8" w:rsidRPr="00BE1DB8">
        <w:t>Fl</w:t>
      </w:r>
      <w:r w:rsidR="00BE1DB8">
        <w:t xml:space="preserve">ow diagram of the procedure </w:t>
      </w:r>
      <w:r w:rsidR="00F6410B">
        <w:t>for each experiment.</w:t>
      </w:r>
    </w:p>
    <w:p w14:paraId="60430AAA" w14:textId="5DC1CF1C" w:rsidR="004816C3" w:rsidRDefault="002C7D2B" w:rsidP="00905C6A">
      <w:pPr>
        <w:pStyle w:val="IAHRtext"/>
      </w:pPr>
      <w:r>
        <w:t xml:space="preserve">After the experiments, results were compared to discuss </w:t>
      </w:r>
      <w:r w:rsidR="00730E00">
        <w:t xml:space="preserve">which </w:t>
      </w:r>
      <w:r w:rsidR="00866E93">
        <w:t>alternatives are</w:t>
      </w:r>
      <w:r w:rsidR="00730E00">
        <w:t xml:space="preserve"> better for improving model performance </w:t>
      </w:r>
      <w:r w:rsidR="006C16E8">
        <w:t xml:space="preserve">without </w:t>
      </w:r>
      <w:r w:rsidR="004B547B">
        <w:t>a loss of generalization capacity</w:t>
      </w:r>
      <w:r w:rsidR="006C16E8">
        <w:t xml:space="preserve"> due to overfitting issues.</w:t>
      </w:r>
      <w:r w:rsidR="00964B16">
        <w:t xml:space="preserve"> To set a baseline for comparison, base model</w:t>
      </w:r>
      <w:r w:rsidR="002909FF">
        <w:t>s</w:t>
      </w:r>
      <w:r w:rsidR="00964B16">
        <w:t xml:space="preserve"> w</w:t>
      </w:r>
      <w:r w:rsidR="002909FF">
        <w:t>ere</w:t>
      </w:r>
      <w:r w:rsidR="00964B16">
        <w:t xml:space="preserve"> also </w:t>
      </w:r>
      <w:r w:rsidR="00CC473D">
        <w:t>implemented for each watershed</w:t>
      </w:r>
      <w:r w:rsidR="002909FF">
        <w:t xml:space="preserve"> and dataset</w:t>
      </w:r>
      <w:r w:rsidR="002E309F">
        <w:t xml:space="preserve"> (4 in total)</w:t>
      </w:r>
      <w:r w:rsidR="00866E93">
        <w:t>. They</w:t>
      </w:r>
      <w:r w:rsidR="002909FF">
        <w:t xml:space="preserve"> w</w:t>
      </w:r>
      <w:r w:rsidR="002E309F">
        <w:t>ere</w:t>
      </w:r>
      <w:r w:rsidR="002909FF">
        <w:t xml:space="preserve"> trained usin</w:t>
      </w:r>
      <w:r w:rsidR="002E309F">
        <w:t xml:space="preserve">g the corresponding dataset in its original form without </w:t>
      </w:r>
      <w:r w:rsidR="0047353B">
        <w:t xml:space="preserve">classifying observations or </w:t>
      </w:r>
      <w:r w:rsidR="000517B6">
        <w:t>augment</w:t>
      </w:r>
      <w:r w:rsidR="0047353B">
        <w:t xml:space="preserve">ing the </w:t>
      </w:r>
      <w:r w:rsidR="005D2FEC">
        <w:t>data</w:t>
      </w:r>
      <w:r w:rsidR="0047353B">
        <w:t>.</w:t>
      </w:r>
    </w:p>
    <w:p w14:paraId="29CA3BA9" w14:textId="0BBCB659" w:rsidR="00473F79" w:rsidRDefault="00B31FB2" w:rsidP="00BA6B56">
      <w:pPr>
        <w:pStyle w:val="IAHRheading1"/>
      </w:pPr>
      <w:r>
        <w:t>Results</w:t>
      </w:r>
    </w:p>
    <w:p w14:paraId="646BFF22" w14:textId="1476F97D" w:rsidR="009818A0" w:rsidRDefault="00483EC5" w:rsidP="00454B1B">
      <w:pPr>
        <w:pStyle w:val="IAHRtext"/>
      </w:pPr>
      <w:r w:rsidRPr="00483EC5">
        <w:t>The results of the best experiment compared to the baseline model (without data augmentation in the training set) for each watershed and each of the two input datasets are shown in Table 2.</w:t>
      </w:r>
      <w:r w:rsidR="00A961B1">
        <w:t xml:space="preserve"> Also, </w:t>
      </w:r>
      <w:r w:rsidR="00BA244D">
        <w:t xml:space="preserve">scatterplots of modeled </w:t>
      </w:r>
      <w:r w:rsidR="00BA244D" w:rsidRPr="00AE5DD0">
        <w:rPr>
          <w:i/>
        </w:rPr>
        <w:t>vs</w:t>
      </w:r>
      <w:r w:rsidR="00866E93">
        <w:t>.</w:t>
      </w:r>
      <w:r w:rsidR="00BA244D">
        <w:t xml:space="preserve"> observed discharges </w:t>
      </w:r>
      <w:r w:rsidR="008126DA">
        <w:t xml:space="preserve">comparing baseline to best models for each of the watershed and input dataset pairs </w:t>
      </w:r>
      <w:r w:rsidR="00B11374">
        <w:t>are displayed in Figures 3-6.</w:t>
      </w:r>
    </w:p>
    <w:p w14:paraId="7753B1A6" w14:textId="77777777" w:rsidR="009818A0" w:rsidRDefault="009818A0" w:rsidP="009818A0">
      <w:pPr>
        <w:pStyle w:val="IAHRtabletitle"/>
      </w:pPr>
      <w:r w:rsidRPr="007F0540">
        <w:rPr>
          <w:b/>
          <w:bCs/>
        </w:rPr>
        <w:t xml:space="preserve">Table </w:t>
      </w:r>
      <w:r w:rsidRPr="007F0540">
        <w:rPr>
          <w:b/>
          <w:bCs/>
        </w:rPr>
        <w:fldChar w:fldCharType="begin"/>
      </w:r>
      <w:r w:rsidRPr="007F0540">
        <w:rPr>
          <w:b/>
          <w:bCs/>
        </w:rPr>
        <w:instrText xml:space="preserve"> SEQ Table \* ARABIC </w:instrText>
      </w:r>
      <w:r w:rsidRPr="007F0540">
        <w:rPr>
          <w:b/>
          <w:bCs/>
        </w:rPr>
        <w:fldChar w:fldCharType="separate"/>
      </w:r>
      <w:r>
        <w:rPr>
          <w:b/>
          <w:bCs/>
          <w:noProof/>
        </w:rPr>
        <w:t>2</w:t>
      </w:r>
      <w:r w:rsidRPr="007F0540">
        <w:rPr>
          <w:b/>
          <w:bCs/>
        </w:rPr>
        <w:fldChar w:fldCharType="end"/>
      </w:r>
      <w:r>
        <w:t>. Results of the best experiments compared to baseline models for each watershed and dataset.</w:t>
      </w:r>
    </w:p>
    <w:tbl>
      <w:tblPr>
        <w:tblW w:w="9312" w:type="dxa"/>
        <w:jc w:val="center"/>
        <w:tblCellMar>
          <w:left w:w="70" w:type="dxa"/>
          <w:right w:w="70" w:type="dxa"/>
        </w:tblCellMar>
        <w:tblLook w:val="04A0" w:firstRow="1" w:lastRow="0" w:firstColumn="1" w:lastColumn="0" w:noHBand="0" w:noVBand="1"/>
      </w:tblPr>
      <w:tblGrid>
        <w:gridCol w:w="935"/>
        <w:gridCol w:w="1090"/>
        <w:gridCol w:w="1008"/>
        <w:gridCol w:w="1095"/>
        <w:gridCol w:w="1505"/>
        <w:gridCol w:w="455"/>
        <w:gridCol w:w="571"/>
        <w:gridCol w:w="670"/>
        <w:gridCol w:w="571"/>
        <w:gridCol w:w="732"/>
        <w:gridCol w:w="680"/>
      </w:tblGrid>
      <w:tr w:rsidR="009818A0" w:rsidRPr="002748B6" w14:paraId="5DDDF3EB" w14:textId="77777777" w:rsidTr="00E212F2">
        <w:trPr>
          <w:trHeight w:val="342"/>
          <w:jc w:val="center"/>
        </w:trPr>
        <w:tc>
          <w:tcPr>
            <w:tcW w:w="93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0D32CFB" w14:textId="77777777" w:rsidR="009818A0" w:rsidRPr="002748B6"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2748B6">
              <w:rPr>
                <w:rFonts w:ascii="Times New Roman" w:eastAsia="Times New Roman" w:hAnsi="Times New Roman" w:cs="Times New Roman"/>
                <w:color w:val="000000"/>
                <w:sz w:val="18"/>
                <w:szCs w:val="18"/>
                <w:lang w:val="pt-BR" w:eastAsia="pt-BR"/>
              </w:rPr>
              <w:t>Watershed</w:t>
            </w:r>
            <w:proofErr w:type="spellEnd"/>
          </w:p>
        </w:tc>
        <w:tc>
          <w:tcPr>
            <w:tcW w:w="1090" w:type="dxa"/>
            <w:tcBorders>
              <w:top w:val="single" w:sz="8" w:space="0" w:color="auto"/>
              <w:left w:val="nil"/>
              <w:bottom w:val="single" w:sz="8" w:space="0" w:color="auto"/>
              <w:right w:val="single" w:sz="4" w:space="0" w:color="auto"/>
            </w:tcBorders>
            <w:shd w:val="clear" w:color="auto" w:fill="auto"/>
            <w:noWrap/>
            <w:vAlign w:val="center"/>
            <w:hideMark/>
          </w:tcPr>
          <w:p w14:paraId="207186CE" w14:textId="77777777" w:rsidR="009818A0" w:rsidRPr="002748B6"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2748B6">
              <w:rPr>
                <w:rFonts w:ascii="Times New Roman" w:eastAsia="Times New Roman" w:hAnsi="Times New Roman" w:cs="Times New Roman"/>
                <w:color w:val="000000"/>
                <w:sz w:val="18"/>
                <w:szCs w:val="18"/>
                <w:lang w:val="pt-BR" w:eastAsia="pt-BR"/>
              </w:rPr>
              <w:t xml:space="preserve">Input </w:t>
            </w:r>
            <w:proofErr w:type="spellStart"/>
            <w:r w:rsidRPr="002748B6">
              <w:rPr>
                <w:rFonts w:ascii="Times New Roman" w:eastAsia="Times New Roman" w:hAnsi="Times New Roman" w:cs="Times New Roman"/>
                <w:color w:val="000000"/>
                <w:sz w:val="18"/>
                <w:szCs w:val="18"/>
                <w:lang w:val="pt-BR" w:eastAsia="pt-BR"/>
              </w:rPr>
              <w:t>dataset</w:t>
            </w:r>
            <w:proofErr w:type="spellEnd"/>
          </w:p>
        </w:tc>
        <w:tc>
          <w:tcPr>
            <w:tcW w:w="1008" w:type="dxa"/>
            <w:tcBorders>
              <w:top w:val="single" w:sz="8" w:space="0" w:color="auto"/>
              <w:left w:val="nil"/>
              <w:bottom w:val="single" w:sz="8" w:space="0" w:color="auto"/>
              <w:right w:val="single" w:sz="4" w:space="0" w:color="auto"/>
            </w:tcBorders>
            <w:shd w:val="clear" w:color="auto" w:fill="auto"/>
            <w:noWrap/>
            <w:vAlign w:val="center"/>
            <w:hideMark/>
          </w:tcPr>
          <w:p w14:paraId="3E4D5CB6" w14:textId="77777777" w:rsidR="009818A0" w:rsidRPr="002748B6"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2748B6">
              <w:rPr>
                <w:rFonts w:ascii="Times New Roman" w:eastAsia="Times New Roman" w:hAnsi="Times New Roman" w:cs="Times New Roman"/>
                <w:color w:val="000000"/>
                <w:sz w:val="18"/>
                <w:szCs w:val="18"/>
                <w:lang w:val="pt-BR" w:eastAsia="pt-BR"/>
              </w:rPr>
              <w:t>Experiment</w:t>
            </w:r>
            <w:proofErr w:type="spellEnd"/>
          </w:p>
        </w:tc>
        <w:tc>
          <w:tcPr>
            <w:tcW w:w="1095" w:type="dxa"/>
            <w:tcBorders>
              <w:top w:val="single" w:sz="8" w:space="0" w:color="auto"/>
              <w:left w:val="nil"/>
              <w:bottom w:val="single" w:sz="8" w:space="0" w:color="auto"/>
              <w:right w:val="single" w:sz="4" w:space="0" w:color="auto"/>
            </w:tcBorders>
            <w:shd w:val="clear" w:color="auto" w:fill="auto"/>
            <w:noWrap/>
            <w:vAlign w:val="center"/>
            <w:hideMark/>
          </w:tcPr>
          <w:p w14:paraId="38EA7DB8" w14:textId="77777777" w:rsidR="009818A0" w:rsidRPr="002748B6"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2748B6">
              <w:rPr>
                <w:rFonts w:ascii="Times New Roman" w:eastAsia="Times New Roman" w:hAnsi="Times New Roman" w:cs="Times New Roman"/>
                <w:color w:val="000000"/>
                <w:sz w:val="18"/>
                <w:szCs w:val="18"/>
                <w:lang w:val="pt-BR" w:eastAsia="pt-BR"/>
              </w:rPr>
              <w:t>k (k-</w:t>
            </w:r>
            <w:proofErr w:type="spellStart"/>
            <w:r w:rsidRPr="002748B6">
              <w:rPr>
                <w:rFonts w:ascii="Times New Roman" w:eastAsia="Times New Roman" w:hAnsi="Times New Roman" w:cs="Times New Roman"/>
                <w:color w:val="000000"/>
                <w:sz w:val="18"/>
                <w:szCs w:val="18"/>
                <w:lang w:val="pt-BR" w:eastAsia="pt-BR"/>
              </w:rPr>
              <w:t>means</w:t>
            </w:r>
            <w:proofErr w:type="spellEnd"/>
            <w:r w:rsidRPr="002748B6">
              <w:rPr>
                <w:rFonts w:ascii="Times New Roman" w:eastAsia="Times New Roman" w:hAnsi="Times New Roman" w:cs="Times New Roman"/>
                <w:color w:val="000000"/>
                <w:sz w:val="18"/>
                <w:szCs w:val="18"/>
                <w:lang w:val="pt-BR" w:eastAsia="pt-BR"/>
              </w:rPr>
              <w:t>)</w:t>
            </w:r>
          </w:p>
        </w:tc>
        <w:tc>
          <w:tcPr>
            <w:tcW w:w="1505" w:type="dxa"/>
            <w:tcBorders>
              <w:top w:val="single" w:sz="8" w:space="0" w:color="auto"/>
              <w:left w:val="nil"/>
              <w:bottom w:val="single" w:sz="8" w:space="0" w:color="auto"/>
              <w:right w:val="single" w:sz="4" w:space="0" w:color="auto"/>
            </w:tcBorders>
            <w:shd w:val="clear" w:color="auto" w:fill="auto"/>
            <w:noWrap/>
            <w:vAlign w:val="center"/>
            <w:hideMark/>
          </w:tcPr>
          <w:p w14:paraId="16E5E040" w14:textId="77777777" w:rsidR="009818A0" w:rsidRPr="002748B6"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2748B6">
              <w:rPr>
                <w:rFonts w:ascii="Times New Roman" w:eastAsia="Times New Roman" w:hAnsi="Times New Roman" w:cs="Times New Roman"/>
                <w:color w:val="000000"/>
                <w:sz w:val="18"/>
                <w:szCs w:val="18"/>
                <w:lang w:val="pt-BR" w:eastAsia="pt-BR"/>
              </w:rPr>
              <w:t>Sampling</w:t>
            </w:r>
            <w:proofErr w:type="spellEnd"/>
            <w:r w:rsidRPr="002748B6">
              <w:rPr>
                <w:rFonts w:ascii="Times New Roman" w:eastAsia="Times New Roman" w:hAnsi="Times New Roman" w:cs="Times New Roman"/>
                <w:color w:val="000000"/>
                <w:sz w:val="18"/>
                <w:szCs w:val="18"/>
                <w:lang w:val="pt-BR" w:eastAsia="pt-BR"/>
              </w:rPr>
              <w:t xml:space="preserve"> </w:t>
            </w:r>
            <w:proofErr w:type="spellStart"/>
            <w:r w:rsidRPr="002748B6">
              <w:rPr>
                <w:rFonts w:ascii="Times New Roman" w:eastAsia="Times New Roman" w:hAnsi="Times New Roman" w:cs="Times New Roman"/>
                <w:color w:val="000000"/>
                <w:sz w:val="18"/>
                <w:szCs w:val="18"/>
                <w:lang w:val="pt-BR" w:eastAsia="pt-BR"/>
              </w:rPr>
              <w:t>method</w:t>
            </w:r>
            <w:proofErr w:type="spellEnd"/>
          </w:p>
        </w:tc>
        <w:tc>
          <w:tcPr>
            <w:tcW w:w="455" w:type="dxa"/>
            <w:tcBorders>
              <w:top w:val="single" w:sz="8" w:space="0" w:color="auto"/>
              <w:left w:val="nil"/>
              <w:bottom w:val="single" w:sz="8" w:space="0" w:color="auto"/>
              <w:right w:val="single" w:sz="4" w:space="0" w:color="auto"/>
            </w:tcBorders>
            <w:shd w:val="clear" w:color="auto" w:fill="auto"/>
            <w:noWrap/>
            <w:vAlign w:val="center"/>
            <w:hideMark/>
          </w:tcPr>
          <w:p w14:paraId="0BD8BA04" w14:textId="77777777" w:rsidR="009818A0" w:rsidRPr="002748B6"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2748B6">
              <w:rPr>
                <w:rFonts w:ascii="Times New Roman" w:eastAsia="Times New Roman" w:hAnsi="Times New Roman" w:cs="Times New Roman"/>
                <w:color w:val="000000"/>
                <w:sz w:val="18"/>
                <w:szCs w:val="18"/>
                <w:lang w:val="pt-BR" w:eastAsia="pt-BR"/>
              </w:rPr>
              <w:t>IR</w:t>
            </w:r>
          </w:p>
        </w:tc>
        <w:tc>
          <w:tcPr>
            <w:tcW w:w="571" w:type="dxa"/>
            <w:tcBorders>
              <w:top w:val="single" w:sz="8" w:space="0" w:color="auto"/>
              <w:left w:val="nil"/>
              <w:bottom w:val="single" w:sz="8" w:space="0" w:color="auto"/>
              <w:right w:val="single" w:sz="4" w:space="0" w:color="auto"/>
            </w:tcBorders>
            <w:shd w:val="clear" w:color="auto" w:fill="auto"/>
            <w:noWrap/>
            <w:vAlign w:val="center"/>
            <w:hideMark/>
          </w:tcPr>
          <w:p w14:paraId="1464D8DD" w14:textId="77777777" w:rsidR="009818A0" w:rsidRPr="002748B6"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2748B6">
              <w:rPr>
                <w:rFonts w:ascii="Times New Roman" w:eastAsia="Times New Roman" w:hAnsi="Times New Roman" w:cs="Times New Roman"/>
                <w:color w:val="000000"/>
                <w:sz w:val="18"/>
                <w:szCs w:val="18"/>
                <w:lang w:val="pt-BR" w:eastAsia="pt-BR"/>
              </w:rPr>
              <w:t>NSE</w:t>
            </w:r>
          </w:p>
        </w:tc>
        <w:tc>
          <w:tcPr>
            <w:tcW w:w="670" w:type="dxa"/>
            <w:tcBorders>
              <w:top w:val="single" w:sz="8" w:space="0" w:color="auto"/>
              <w:left w:val="nil"/>
              <w:bottom w:val="single" w:sz="8" w:space="0" w:color="auto"/>
              <w:right w:val="single" w:sz="4" w:space="0" w:color="auto"/>
            </w:tcBorders>
            <w:shd w:val="clear" w:color="auto" w:fill="auto"/>
            <w:noWrap/>
            <w:vAlign w:val="center"/>
            <w:hideMark/>
          </w:tcPr>
          <w:p w14:paraId="7BE04C9B" w14:textId="77777777" w:rsidR="009818A0" w:rsidRPr="002748B6"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2748B6">
              <w:rPr>
                <w:rFonts w:ascii="Times New Roman" w:eastAsia="Times New Roman" w:hAnsi="Times New Roman" w:cs="Times New Roman"/>
                <w:color w:val="000000"/>
                <w:sz w:val="18"/>
                <w:szCs w:val="18"/>
                <w:lang w:val="pt-BR" w:eastAsia="pt-BR"/>
              </w:rPr>
              <w:t>PBIAS</w:t>
            </w:r>
          </w:p>
        </w:tc>
        <w:tc>
          <w:tcPr>
            <w:tcW w:w="571" w:type="dxa"/>
            <w:tcBorders>
              <w:top w:val="single" w:sz="8" w:space="0" w:color="auto"/>
              <w:left w:val="nil"/>
              <w:bottom w:val="single" w:sz="8" w:space="0" w:color="auto"/>
              <w:right w:val="single" w:sz="4" w:space="0" w:color="auto"/>
            </w:tcBorders>
            <w:shd w:val="clear" w:color="auto" w:fill="auto"/>
            <w:noWrap/>
            <w:vAlign w:val="center"/>
            <w:hideMark/>
          </w:tcPr>
          <w:p w14:paraId="66E7CA98" w14:textId="77777777" w:rsidR="009818A0" w:rsidRPr="002748B6"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2748B6">
              <w:rPr>
                <w:rFonts w:ascii="Times New Roman" w:eastAsia="Times New Roman" w:hAnsi="Times New Roman" w:cs="Times New Roman"/>
                <w:color w:val="000000"/>
                <w:sz w:val="18"/>
                <w:szCs w:val="18"/>
                <w:lang w:val="pt-BR" w:eastAsia="pt-BR"/>
              </w:rPr>
              <w:t>RSR</w:t>
            </w:r>
          </w:p>
        </w:tc>
        <w:tc>
          <w:tcPr>
            <w:tcW w:w="732" w:type="dxa"/>
            <w:tcBorders>
              <w:top w:val="single" w:sz="8" w:space="0" w:color="auto"/>
              <w:left w:val="nil"/>
              <w:bottom w:val="single" w:sz="8" w:space="0" w:color="auto"/>
              <w:right w:val="single" w:sz="4" w:space="0" w:color="auto"/>
            </w:tcBorders>
            <w:shd w:val="clear" w:color="auto" w:fill="auto"/>
            <w:noWrap/>
            <w:vAlign w:val="center"/>
            <w:hideMark/>
          </w:tcPr>
          <w:p w14:paraId="655425D3" w14:textId="77777777" w:rsidR="009818A0" w:rsidRPr="002748B6"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2748B6">
              <w:rPr>
                <w:rFonts w:ascii="Times New Roman" w:eastAsia="Times New Roman" w:hAnsi="Times New Roman" w:cs="Times New Roman"/>
                <w:color w:val="000000"/>
                <w:sz w:val="18"/>
                <w:szCs w:val="18"/>
                <w:lang w:val="pt-BR" w:eastAsia="pt-BR"/>
              </w:rPr>
              <w:t>logNSE</w:t>
            </w:r>
            <w:proofErr w:type="spellEnd"/>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14:paraId="683BEC1D" w14:textId="77777777" w:rsidR="009818A0" w:rsidRPr="002748B6"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2748B6">
              <w:rPr>
                <w:rFonts w:ascii="Times New Roman" w:eastAsia="Times New Roman" w:hAnsi="Times New Roman" w:cs="Times New Roman"/>
                <w:color w:val="000000"/>
                <w:sz w:val="18"/>
                <w:szCs w:val="18"/>
                <w:lang w:val="pt-BR" w:eastAsia="pt-BR"/>
              </w:rPr>
              <w:t>pkNSE</w:t>
            </w:r>
            <w:proofErr w:type="spellEnd"/>
          </w:p>
        </w:tc>
      </w:tr>
      <w:tr w:rsidR="009818A0" w:rsidRPr="002748B6" w14:paraId="174E86B1" w14:textId="77777777" w:rsidTr="00E212F2">
        <w:trPr>
          <w:trHeight w:val="300"/>
          <w:jc w:val="center"/>
        </w:trPr>
        <w:tc>
          <w:tcPr>
            <w:tcW w:w="935" w:type="dxa"/>
            <w:tcBorders>
              <w:top w:val="nil"/>
              <w:left w:val="single" w:sz="8" w:space="0" w:color="auto"/>
              <w:bottom w:val="single" w:sz="4" w:space="0" w:color="auto"/>
              <w:right w:val="single" w:sz="4" w:space="0" w:color="auto"/>
            </w:tcBorders>
            <w:shd w:val="clear" w:color="auto" w:fill="auto"/>
            <w:noWrap/>
            <w:vAlign w:val="center"/>
            <w:hideMark/>
          </w:tcPr>
          <w:p w14:paraId="26E360FB"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PS</w:t>
            </w:r>
          </w:p>
        </w:tc>
        <w:tc>
          <w:tcPr>
            <w:tcW w:w="1090" w:type="dxa"/>
            <w:tcBorders>
              <w:top w:val="nil"/>
              <w:left w:val="nil"/>
              <w:bottom w:val="single" w:sz="4" w:space="0" w:color="auto"/>
              <w:right w:val="single" w:sz="4" w:space="0" w:color="auto"/>
            </w:tcBorders>
            <w:shd w:val="clear" w:color="auto" w:fill="auto"/>
            <w:noWrap/>
            <w:vAlign w:val="center"/>
            <w:hideMark/>
          </w:tcPr>
          <w:p w14:paraId="7C0C3228"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Dataset</w:t>
            </w:r>
            <w:proofErr w:type="spellEnd"/>
            <w:r w:rsidRPr="005823B9">
              <w:rPr>
                <w:rFonts w:ascii="Times New Roman" w:eastAsia="Times New Roman" w:hAnsi="Times New Roman" w:cs="Times New Roman"/>
                <w:color w:val="000000"/>
                <w:sz w:val="18"/>
                <w:szCs w:val="18"/>
                <w:lang w:val="pt-BR" w:eastAsia="pt-BR"/>
              </w:rPr>
              <w:t xml:space="preserve"> A</w:t>
            </w:r>
          </w:p>
        </w:tc>
        <w:tc>
          <w:tcPr>
            <w:tcW w:w="1008" w:type="dxa"/>
            <w:tcBorders>
              <w:top w:val="nil"/>
              <w:left w:val="nil"/>
              <w:bottom w:val="single" w:sz="4" w:space="0" w:color="auto"/>
              <w:right w:val="single" w:sz="4" w:space="0" w:color="auto"/>
            </w:tcBorders>
            <w:shd w:val="clear" w:color="auto" w:fill="auto"/>
            <w:noWrap/>
            <w:vAlign w:val="center"/>
            <w:hideMark/>
          </w:tcPr>
          <w:p w14:paraId="7AED127A"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Baseline</w:t>
            </w:r>
          </w:p>
        </w:tc>
        <w:tc>
          <w:tcPr>
            <w:tcW w:w="1095" w:type="dxa"/>
            <w:tcBorders>
              <w:top w:val="nil"/>
              <w:left w:val="nil"/>
              <w:bottom w:val="single" w:sz="4" w:space="0" w:color="auto"/>
              <w:right w:val="single" w:sz="4" w:space="0" w:color="auto"/>
            </w:tcBorders>
            <w:shd w:val="clear" w:color="auto" w:fill="auto"/>
            <w:noWrap/>
            <w:vAlign w:val="center"/>
            <w:hideMark/>
          </w:tcPr>
          <w:p w14:paraId="73EACC87"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w:t>
            </w:r>
          </w:p>
        </w:tc>
        <w:tc>
          <w:tcPr>
            <w:tcW w:w="1505" w:type="dxa"/>
            <w:tcBorders>
              <w:top w:val="nil"/>
              <w:left w:val="nil"/>
              <w:bottom w:val="single" w:sz="4" w:space="0" w:color="auto"/>
              <w:right w:val="single" w:sz="4" w:space="0" w:color="auto"/>
            </w:tcBorders>
            <w:shd w:val="clear" w:color="auto" w:fill="auto"/>
            <w:noWrap/>
            <w:vAlign w:val="center"/>
            <w:hideMark/>
          </w:tcPr>
          <w:p w14:paraId="11B53AC7"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None</w:t>
            </w:r>
            <w:proofErr w:type="spellEnd"/>
          </w:p>
        </w:tc>
        <w:tc>
          <w:tcPr>
            <w:tcW w:w="455" w:type="dxa"/>
            <w:tcBorders>
              <w:top w:val="nil"/>
              <w:left w:val="nil"/>
              <w:bottom w:val="single" w:sz="4" w:space="0" w:color="auto"/>
              <w:right w:val="single" w:sz="4" w:space="0" w:color="auto"/>
            </w:tcBorders>
            <w:shd w:val="clear" w:color="auto" w:fill="auto"/>
            <w:noWrap/>
            <w:vAlign w:val="center"/>
            <w:hideMark/>
          </w:tcPr>
          <w:p w14:paraId="709C8EC6"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w:t>
            </w:r>
          </w:p>
        </w:tc>
        <w:tc>
          <w:tcPr>
            <w:tcW w:w="571" w:type="dxa"/>
            <w:tcBorders>
              <w:top w:val="nil"/>
              <w:left w:val="nil"/>
              <w:bottom w:val="single" w:sz="4" w:space="0" w:color="auto"/>
              <w:right w:val="single" w:sz="4" w:space="0" w:color="auto"/>
            </w:tcBorders>
            <w:shd w:val="clear" w:color="auto" w:fill="auto"/>
            <w:noWrap/>
            <w:vAlign w:val="center"/>
            <w:hideMark/>
          </w:tcPr>
          <w:p w14:paraId="411E41C2"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0.34</w:t>
            </w:r>
          </w:p>
        </w:tc>
        <w:tc>
          <w:tcPr>
            <w:tcW w:w="670" w:type="dxa"/>
            <w:tcBorders>
              <w:top w:val="nil"/>
              <w:left w:val="nil"/>
              <w:bottom w:val="single" w:sz="4" w:space="0" w:color="auto"/>
              <w:right w:val="single" w:sz="4" w:space="0" w:color="auto"/>
            </w:tcBorders>
            <w:shd w:val="clear" w:color="auto" w:fill="auto"/>
            <w:noWrap/>
            <w:vAlign w:val="center"/>
            <w:hideMark/>
          </w:tcPr>
          <w:p w14:paraId="40CD84D2"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0.17</w:t>
            </w:r>
          </w:p>
        </w:tc>
        <w:tc>
          <w:tcPr>
            <w:tcW w:w="571" w:type="dxa"/>
            <w:tcBorders>
              <w:top w:val="nil"/>
              <w:left w:val="nil"/>
              <w:bottom w:val="single" w:sz="4" w:space="0" w:color="auto"/>
              <w:right w:val="single" w:sz="4" w:space="0" w:color="auto"/>
            </w:tcBorders>
            <w:shd w:val="clear" w:color="auto" w:fill="auto"/>
            <w:noWrap/>
            <w:vAlign w:val="center"/>
            <w:hideMark/>
          </w:tcPr>
          <w:p w14:paraId="276D41DC"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1.32</w:t>
            </w:r>
          </w:p>
        </w:tc>
        <w:tc>
          <w:tcPr>
            <w:tcW w:w="732" w:type="dxa"/>
            <w:tcBorders>
              <w:top w:val="nil"/>
              <w:left w:val="nil"/>
              <w:bottom w:val="single" w:sz="4" w:space="0" w:color="auto"/>
              <w:right w:val="single" w:sz="4" w:space="0" w:color="auto"/>
            </w:tcBorders>
            <w:shd w:val="clear" w:color="auto" w:fill="auto"/>
            <w:noWrap/>
            <w:vAlign w:val="center"/>
            <w:hideMark/>
          </w:tcPr>
          <w:p w14:paraId="25845909"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-0.06</w:t>
            </w:r>
          </w:p>
        </w:tc>
        <w:tc>
          <w:tcPr>
            <w:tcW w:w="680" w:type="dxa"/>
            <w:tcBorders>
              <w:top w:val="nil"/>
              <w:left w:val="nil"/>
              <w:bottom w:val="single" w:sz="4" w:space="0" w:color="auto"/>
              <w:right w:val="single" w:sz="8" w:space="0" w:color="auto"/>
            </w:tcBorders>
            <w:shd w:val="clear" w:color="auto" w:fill="auto"/>
            <w:noWrap/>
            <w:vAlign w:val="center"/>
            <w:hideMark/>
          </w:tcPr>
          <w:p w14:paraId="61586604"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0.22</w:t>
            </w:r>
          </w:p>
        </w:tc>
      </w:tr>
      <w:tr w:rsidR="009818A0" w:rsidRPr="002748B6" w14:paraId="0D181489" w14:textId="77777777" w:rsidTr="00E212F2">
        <w:trPr>
          <w:trHeight w:val="300"/>
          <w:jc w:val="center"/>
        </w:trPr>
        <w:tc>
          <w:tcPr>
            <w:tcW w:w="935" w:type="dxa"/>
            <w:tcBorders>
              <w:top w:val="nil"/>
              <w:left w:val="single" w:sz="8" w:space="0" w:color="auto"/>
              <w:bottom w:val="single" w:sz="4" w:space="0" w:color="auto"/>
              <w:right w:val="single" w:sz="4" w:space="0" w:color="auto"/>
            </w:tcBorders>
            <w:shd w:val="clear" w:color="auto" w:fill="auto"/>
            <w:noWrap/>
            <w:vAlign w:val="center"/>
            <w:hideMark/>
          </w:tcPr>
          <w:p w14:paraId="3A91E29B"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PS</w:t>
            </w:r>
          </w:p>
        </w:tc>
        <w:tc>
          <w:tcPr>
            <w:tcW w:w="1090" w:type="dxa"/>
            <w:tcBorders>
              <w:top w:val="nil"/>
              <w:left w:val="nil"/>
              <w:bottom w:val="single" w:sz="4" w:space="0" w:color="auto"/>
              <w:right w:val="single" w:sz="4" w:space="0" w:color="auto"/>
            </w:tcBorders>
            <w:shd w:val="clear" w:color="auto" w:fill="auto"/>
            <w:noWrap/>
            <w:vAlign w:val="center"/>
            <w:hideMark/>
          </w:tcPr>
          <w:p w14:paraId="09AF37E4"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Dataset</w:t>
            </w:r>
            <w:proofErr w:type="spellEnd"/>
            <w:r w:rsidRPr="005823B9">
              <w:rPr>
                <w:rFonts w:ascii="Times New Roman" w:eastAsia="Times New Roman" w:hAnsi="Times New Roman" w:cs="Times New Roman"/>
                <w:color w:val="000000"/>
                <w:sz w:val="18"/>
                <w:szCs w:val="18"/>
                <w:lang w:val="pt-BR" w:eastAsia="pt-BR"/>
              </w:rPr>
              <w:t xml:space="preserve"> A</w:t>
            </w:r>
          </w:p>
        </w:tc>
        <w:tc>
          <w:tcPr>
            <w:tcW w:w="1008" w:type="dxa"/>
            <w:tcBorders>
              <w:top w:val="nil"/>
              <w:left w:val="nil"/>
              <w:bottom w:val="single" w:sz="4" w:space="0" w:color="auto"/>
              <w:right w:val="single" w:sz="4" w:space="0" w:color="auto"/>
            </w:tcBorders>
            <w:shd w:val="clear" w:color="auto" w:fill="auto"/>
            <w:noWrap/>
            <w:vAlign w:val="center"/>
            <w:hideMark/>
          </w:tcPr>
          <w:p w14:paraId="21FFE8AB"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Best</w:t>
            </w:r>
          </w:p>
        </w:tc>
        <w:tc>
          <w:tcPr>
            <w:tcW w:w="1095" w:type="dxa"/>
            <w:tcBorders>
              <w:top w:val="nil"/>
              <w:left w:val="nil"/>
              <w:bottom w:val="single" w:sz="4" w:space="0" w:color="auto"/>
              <w:right w:val="single" w:sz="4" w:space="0" w:color="auto"/>
            </w:tcBorders>
            <w:shd w:val="clear" w:color="auto" w:fill="auto"/>
            <w:noWrap/>
            <w:vAlign w:val="center"/>
            <w:hideMark/>
          </w:tcPr>
          <w:p w14:paraId="718D9C7E"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4</w:t>
            </w:r>
          </w:p>
        </w:tc>
        <w:tc>
          <w:tcPr>
            <w:tcW w:w="1505" w:type="dxa"/>
            <w:tcBorders>
              <w:top w:val="nil"/>
              <w:left w:val="nil"/>
              <w:bottom w:val="single" w:sz="4" w:space="0" w:color="auto"/>
              <w:right w:val="single" w:sz="4" w:space="0" w:color="auto"/>
            </w:tcBorders>
            <w:shd w:val="clear" w:color="auto" w:fill="auto"/>
            <w:noWrap/>
            <w:vAlign w:val="center"/>
            <w:hideMark/>
          </w:tcPr>
          <w:p w14:paraId="60B98CB3"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SMOTE</w:t>
            </w:r>
          </w:p>
        </w:tc>
        <w:tc>
          <w:tcPr>
            <w:tcW w:w="455" w:type="dxa"/>
            <w:tcBorders>
              <w:top w:val="nil"/>
              <w:left w:val="nil"/>
              <w:bottom w:val="single" w:sz="4" w:space="0" w:color="auto"/>
              <w:right w:val="single" w:sz="4" w:space="0" w:color="auto"/>
            </w:tcBorders>
            <w:shd w:val="clear" w:color="auto" w:fill="auto"/>
            <w:noWrap/>
            <w:vAlign w:val="center"/>
            <w:hideMark/>
          </w:tcPr>
          <w:p w14:paraId="4957A3D7"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2.5</w:t>
            </w:r>
          </w:p>
        </w:tc>
        <w:tc>
          <w:tcPr>
            <w:tcW w:w="571" w:type="dxa"/>
            <w:tcBorders>
              <w:top w:val="nil"/>
              <w:left w:val="nil"/>
              <w:bottom w:val="single" w:sz="4" w:space="0" w:color="auto"/>
              <w:right w:val="single" w:sz="4" w:space="0" w:color="auto"/>
            </w:tcBorders>
            <w:shd w:val="clear" w:color="auto" w:fill="auto"/>
            <w:noWrap/>
            <w:vAlign w:val="center"/>
            <w:hideMark/>
          </w:tcPr>
          <w:p w14:paraId="42354FC3"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0.46</w:t>
            </w:r>
          </w:p>
        </w:tc>
        <w:tc>
          <w:tcPr>
            <w:tcW w:w="670" w:type="dxa"/>
            <w:tcBorders>
              <w:top w:val="nil"/>
              <w:left w:val="nil"/>
              <w:bottom w:val="single" w:sz="4" w:space="0" w:color="auto"/>
              <w:right w:val="single" w:sz="4" w:space="0" w:color="auto"/>
            </w:tcBorders>
            <w:shd w:val="clear" w:color="auto" w:fill="auto"/>
            <w:noWrap/>
            <w:vAlign w:val="center"/>
            <w:hideMark/>
          </w:tcPr>
          <w:p w14:paraId="1241D1D2"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-17.6</w:t>
            </w:r>
          </w:p>
        </w:tc>
        <w:tc>
          <w:tcPr>
            <w:tcW w:w="571" w:type="dxa"/>
            <w:tcBorders>
              <w:top w:val="nil"/>
              <w:left w:val="nil"/>
              <w:bottom w:val="single" w:sz="4" w:space="0" w:color="auto"/>
              <w:right w:val="single" w:sz="4" w:space="0" w:color="auto"/>
            </w:tcBorders>
            <w:shd w:val="clear" w:color="auto" w:fill="auto"/>
            <w:noWrap/>
            <w:vAlign w:val="center"/>
            <w:hideMark/>
          </w:tcPr>
          <w:p w14:paraId="021B20F0"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0.94</w:t>
            </w:r>
          </w:p>
        </w:tc>
        <w:tc>
          <w:tcPr>
            <w:tcW w:w="732" w:type="dxa"/>
            <w:tcBorders>
              <w:top w:val="nil"/>
              <w:left w:val="nil"/>
              <w:bottom w:val="single" w:sz="4" w:space="0" w:color="auto"/>
              <w:right w:val="single" w:sz="4" w:space="0" w:color="auto"/>
            </w:tcBorders>
            <w:shd w:val="clear" w:color="auto" w:fill="auto"/>
            <w:noWrap/>
            <w:vAlign w:val="center"/>
            <w:hideMark/>
          </w:tcPr>
          <w:p w14:paraId="65CB3AC7"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-0.07</w:t>
            </w:r>
          </w:p>
        </w:tc>
        <w:tc>
          <w:tcPr>
            <w:tcW w:w="680" w:type="dxa"/>
            <w:tcBorders>
              <w:top w:val="nil"/>
              <w:left w:val="nil"/>
              <w:bottom w:val="single" w:sz="4" w:space="0" w:color="auto"/>
              <w:right w:val="single" w:sz="8" w:space="0" w:color="auto"/>
            </w:tcBorders>
            <w:shd w:val="clear" w:color="auto" w:fill="auto"/>
            <w:noWrap/>
            <w:vAlign w:val="center"/>
            <w:hideMark/>
          </w:tcPr>
          <w:p w14:paraId="409AC8D9"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0.41</w:t>
            </w:r>
          </w:p>
        </w:tc>
      </w:tr>
      <w:tr w:rsidR="009818A0" w:rsidRPr="00E533E7" w14:paraId="2282EC3B" w14:textId="77777777" w:rsidTr="00E212F2">
        <w:trPr>
          <w:trHeight w:val="300"/>
          <w:jc w:val="center"/>
        </w:trPr>
        <w:tc>
          <w:tcPr>
            <w:tcW w:w="935" w:type="dxa"/>
            <w:tcBorders>
              <w:top w:val="nil"/>
              <w:left w:val="single" w:sz="8" w:space="0" w:color="auto"/>
              <w:bottom w:val="single" w:sz="4" w:space="0" w:color="auto"/>
              <w:right w:val="single" w:sz="4" w:space="0" w:color="auto"/>
            </w:tcBorders>
            <w:shd w:val="clear" w:color="auto" w:fill="auto"/>
            <w:noWrap/>
            <w:vAlign w:val="center"/>
            <w:hideMark/>
          </w:tcPr>
          <w:p w14:paraId="6FD88E3A"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PS</w:t>
            </w:r>
          </w:p>
        </w:tc>
        <w:tc>
          <w:tcPr>
            <w:tcW w:w="1090" w:type="dxa"/>
            <w:tcBorders>
              <w:top w:val="nil"/>
              <w:left w:val="nil"/>
              <w:bottom w:val="single" w:sz="4" w:space="0" w:color="auto"/>
              <w:right w:val="single" w:sz="4" w:space="0" w:color="auto"/>
            </w:tcBorders>
            <w:shd w:val="clear" w:color="auto" w:fill="auto"/>
            <w:noWrap/>
            <w:vAlign w:val="center"/>
            <w:hideMark/>
          </w:tcPr>
          <w:p w14:paraId="61D54BB1"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Dataset</w:t>
            </w:r>
            <w:proofErr w:type="spellEnd"/>
            <w:r w:rsidRPr="005823B9">
              <w:rPr>
                <w:rFonts w:ascii="Times New Roman" w:eastAsia="Times New Roman" w:hAnsi="Times New Roman" w:cs="Times New Roman"/>
                <w:color w:val="000000"/>
                <w:sz w:val="18"/>
                <w:szCs w:val="18"/>
                <w:lang w:val="pt-BR" w:eastAsia="pt-BR"/>
              </w:rPr>
              <w:t xml:space="preserve"> B</w:t>
            </w:r>
          </w:p>
        </w:tc>
        <w:tc>
          <w:tcPr>
            <w:tcW w:w="1008" w:type="dxa"/>
            <w:tcBorders>
              <w:top w:val="nil"/>
              <w:left w:val="nil"/>
              <w:bottom w:val="single" w:sz="4" w:space="0" w:color="auto"/>
              <w:right w:val="single" w:sz="4" w:space="0" w:color="auto"/>
            </w:tcBorders>
            <w:shd w:val="clear" w:color="auto" w:fill="auto"/>
            <w:noWrap/>
            <w:vAlign w:val="center"/>
            <w:hideMark/>
          </w:tcPr>
          <w:p w14:paraId="4EC5B29F"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Baseline</w:t>
            </w:r>
          </w:p>
        </w:tc>
        <w:tc>
          <w:tcPr>
            <w:tcW w:w="1095" w:type="dxa"/>
            <w:tcBorders>
              <w:top w:val="nil"/>
              <w:left w:val="nil"/>
              <w:bottom w:val="single" w:sz="4" w:space="0" w:color="auto"/>
              <w:right w:val="single" w:sz="4" w:space="0" w:color="auto"/>
            </w:tcBorders>
            <w:shd w:val="clear" w:color="auto" w:fill="auto"/>
            <w:noWrap/>
            <w:vAlign w:val="center"/>
            <w:hideMark/>
          </w:tcPr>
          <w:p w14:paraId="11625821"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w:t>
            </w:r>
          </w:p>
        </w:tc>
        <w:tc>
          <w:tcPr>
            <w:tcW w:w="1505" w:type="dxa"/>
            <w:tcBorders>
              <w:top w:val="nil"/>
              <w:left w:val="nil"/>
              <w:bottom w:val="single" w:sz="4" w:space="0" w:color="auto"/>
              <w:right w:val="single" w:sz="4" w:space="0" w:color="auto"/>
            </w:tcBorders>
            <w:shd w:val="clear" w:color="auto" w:fill="auto"/>
            <w:noWrap/>
            <w:vAlign w:val="center"/>
            <w:hideMark/>
          </w:tcPr>
          <w:p w14:paraId="04DB9FB7"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None</w:t>
            </w:r>
            <w:proofErr w:type="spellEnd"/>
          </w:p>
        </w:tc>
        <w:tc>
          <w:tcPr>
            <w:tcW w:w="455" w:type="dxa"/>
            <w:tcBorders>
              <w:top w:val="nil"/>
              <w:left w:val="nil"/>
              <w:bottom w:val="single" w:sz="4" w:space="0" w:color="auto"/>
              <w:right w:val="single" w:sz="4" w:space="0" w:color="auto"/>
            </w:tcBorders>
            <w:shd w:val="clear" w:color="auto" w:fill="auto"/>
            <w:noWrap/>
            <w:vAlign w:val="center"/>
            <w:hideMark/>
          </w:tcPr>
          <w:p w14:paraId="788AEC05"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w:t>
            </w:r>
          </w:p>
        </w:tc>
        <w:tc>
          <w:tcPr>
            <w:tcW w:w="571" w:type="dxa"/>
            <w:tcBorders>
              <w:top w:val="nil"/>
              <w:left w:val="nil"/>
              <w:bottom w:val="single" w:sz="4" w:space="0" w:color="auto"/>
              <w:right w:val="single" w:sz="4" w:space="0" w:color="auto"/>
            </w:tcBorders>
            <w:shd w:val="clear" w:color="auto" w:fill="auto"/>
            <w:noWrap/>
            <w:vAlign w:val="center"/>
            <w:hideMark/>
          </w:tcPr>
          <w:p w14:paraId="048D7308"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0.62</w:t>
            </w:r>
          </w:p>
        </w:tc>
        <w:tc>
          <w:tcPr>
            <w:tcW w:w="670" w:type="dxa"/>
            <w:tcBorders>
              <w:top w:val="nil"/>
              <w:left w:val="nil"/>
              <w:bottom w:val="single" w:sz="4" w:space="0" w:color="auto"/>
              <w:right w:val="single" w:sz="4" w:space="0" w:color="auto"/>
            </w:tcBorders>
            <w:shd w:val="clear" w:color="auto" w:fill="auto"/>
            <w:noWrap/>
            <w:vAlign w:val="center"/>
            <w:hideMark/>
          </w:tcPr>
          <w:p w14:paraId="4182AD15"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3.01</w:t>
            </w:r>
          </w:p>
        </w:tc>
        <w:tc>
          <w:tcPr>
            <w:tcW w:w="571" w:type="dxa"/>
            <w:tcBorders>
              <w:top w:val="nil"/>
              <w:left w:val="nil"/>
              <w:bottom w:val="single" w:sz="4" w:space="0" w:color="auto"/>
              <w:right w:val="single" w:sz="4" w:space="0" w:color="auto"/>
            </w:tcBorders>
            <w:shd w:val="clear" w:color="auto" w:fill="auto"/>
            <w:noWrap/>
            <w:vAlign w:val="center"/>
            <w:hideMark/>
          </w:tcPr>
          <w:p w14:paraId="4D36DACA"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0.81</w:t>
            </w:r>
          </w:p>
        </w:tc>
        <w:tc>
          <w:tcPr>
            <w:tcW w:w="732" w:type="dxa"/>
            <w:tcBorders>
              <w:top w:val="nil"/>
              <w:left w:val="nil"/>
              <w:bottom w:val="single" w:sz="4" w:space="0" w:color="auto"/>
              <w:right w:val="single" w:sz="4" w:space="0" w:color="auto"/>
            </w:tcBorders>
            <w:shd w:val="clear" w:color="auto" w:fill="auto"/>
            <w:noWrap/>
            <w:vAlign w:val="center"/>
            <w:hideMark/>
          </w:tcPr>
          <w:p w14:paraId="4C746142"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0.76</w:t>
            </w:r>
          </w:p>
        </w:tc>
        <w:tc>
          <w:tcPr>
            <w:tcW w:w="680" w:type="dxa"/>
            <w:tcBorders>
              <w:top w:val="nil"/>
              <w:left w:val="nil"/>
              <w:bottom w:val="single" w:sz="4" w:space="0" w:color="auto"/>
              <w:right w:val="single" w:sz="8" w:space="0" w:color="auto"/>
            </w:tcBorders>
            <w:shd w:val="clear" w:color="auto" w:fill="auto"/>
            <w:noWrap/>
            <w:vAlign w:val="center"/>
            <w:hideMark/>
          </w:tcPr>
          <w:p w14:paraId="27C3EDB4"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0.54</w:t>
            </w:r>
          </w:p>
        </w:tc>
      </w:tr>
      <w:tr w:rsidR="009818A0" w:rsidRPr="00FA1990" w14:paraId="76767F14" w14:textId="77777777" w:rsidTr="00E212F2">
        <w:trPr>
          <w:trHeight w:val="300"/>
          <w:jc w:val="center"/>
        </w:trPr>
        <w:tc>
          <w:tcPr>
            <w:tcW w:w="935" w:type="dxa"/>
            <w:tcBorders>
              <w:top w:val="nil"/>
              <w:left w:val="single" w:sz="8" w:space="0" w:color="auto"/>
              <w:bottom w:val="single" w:sz="4" w:space="0" w:color="auto"/>
              <w:right w:val="single" w:sz="4" w:space="0" w:color="auto"/>
            </w:tcBorders>
            <w:shd w:val="clear" w:color="auto" w:fill="auto"/>
            <w:noWrap/>
            <w:vAlign w:val="center"/>
            <w:hideMark/>
          </w:tcPr>
          <w:p w14:paraId="13AD651C"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PS</w:t>
            </w:r>
          </w:p>
        </w:tc>
        <w:tc>
          <w:tcPr>
            <w:tcW w:w="1090" w:type="dxa"/>
            <w:tcBorders>
              <w:top w:val="nil"/>
              <w:left w:val="nil"/>
              <w:bottom w:val="single" w:sz="4" w:space="0" w:color="auto"/>
              <w:right w:val="single" w:sz="4" w:space="0" w:color="auto"/>
            </w:tcBorders>
            <w:shd w:val="clear" w:color="auto" w:fill="auto"/>
            <w:noWrap/>
            <w:vAlign w:val="center"/>
            <w:hideMark/>
          </w:tcPr>
          <w:p w14:paraId="7E0C9632"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Dataset</w:t>
            </w:r>
            <w:proofErr w:type="spellEnd"/>
            <w:r w:rsidRPr="005823B9">
              <w:rPr>
                <w:rFonts w:ascii="Times New Roman" w:eastAsia="Times New Roman" w:hAnsi="Times New Roman" w:cs="Times New Roman"/>
                <w:color w:val="000000"/>
                <w:sz w:val="18"/>
                <w:szCs w:val="18"/>
                <w:lang w:val="pt-BR" w:eastAsia="pt-BR"/>
              </w:rPr>
              <w:t xml:space="preserve"> B</w:t>
            </w:r>
          </w:p>
        </w:tc>
        <w:tc>
          <w:tcPr>
            <w:tcW w:w="1008" w:type="dxa"/>
            <w:tcBorders>
              <w:top w:val="nil"/>
              <w:left w:val="nil"/>
              <w:bottom w:val="single" w:sz="4" w:space="0" w:color="auto"/>
              <w:right w:val="single" w:sz="4" w:space="0" w:color="auto"/>
            </w:tcBorders>
            <w:shd w:val="clear" w:color="auto" w:fill="auto"/>
            <w:noWrap/>
            <w:vAlign w:val="center"/>
            <w:hideMark/>
          </w:tcPr>
          <w:p w14:paraId="43EAF0C1"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Best</w:t>
            </w:r>
          </w:p>
        </w:tc>
        <w:tc>
          <w:tcPr>
            <w:tcW w:w="1095" w:type="dxa"/>
            <w:tcBorders>
              <w:top w:val="nil"/>
              <w:left w:val="nil"/>
              <w:bottom w:val="single" w:sz="4" w:space="0" w:color="auto"/>
              <w:right w:val="single" w:sz="4" w:space="0" w:color="auto"/>
            </w:tcBorders>
            <w:shd w:val="clear" w:color="auto" w:fill="auto"/>
            <w:noWrap/>
            <w:vAlign w:val="center"/>
            <w:hideMark/>
          </w:tcPr>
          <w:p w14:paraId="2722E7DE"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4</w:t>
            </w:r>
          </w:p>
        </w:tc>
        <w:tc>
          <w:tcPr>
            <w:tcW w:w="1505" w:type="dxa"/>
            <w:tcBorders>
              <w:top w:val="nil"/>
              <w:left w:val="nil"/>
              <w:bottom w:val="single" w:sz="4" w:space="0" w:color="auto"/>
              <w:right w:val="single" w:sz="4" w:space="0" w:color="auto"/>
            </w:tcBorders>
            <w:shd w:val="clear" w:color="auto" w:fill="auto"/>
            <w:noWrap/>
            <w:vAlign w:val="center"/>
            <w:hideMark/>
          </w:tcPr>
          <w:p w14:paraId="0125FBA1"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SMOTE</w:t>
            </w:r>
          </w:p>
        </w:tc>
        <w:tc>
          <w:tcPr>
            <w:tcW w:w="455" w:type="dxa"/>
            <w:tcBorders>
              <w:top w:val="nil"/>
              <w:left w:val="nil"/>
              <w:bottom w:val="single" w:sz="4" w:space="0" w:color="auto"/>
              <w:right w:val="single" w:sz="4" w:space="0" w:color="auto"/>
            </w:tcBorders>
            <w:shd w:val="clear" w:color="auto" w:fill="auto"/>
            <w:noWrap/>
            <w:vAlign w:val="center"/>
            <w:hideMark/>
          </w:tcPr>
          <w:p w14:paraId="29330A02"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1.5</w:t>
            </w:r>
          </w:p>
        </w:tc>
        <w:tc>
          <w:tcPr>
            <w:tcW w:w="571" w:type="dxa"/>
            <w:tcBorders>
              <w:top w:val="nil"/>
              <w:left w:val="nil"/>
              <w:bottom w:val="single" w:sz="4" w:space="0" w:color="auto"/>
              <w:right w:val="single" w:sz="4" w:space="0" w:color="auto"/>
            </w:tcBorders>
            <w:shd w:val="clear" w:color="auto" w:fill="auto"/>
            <w:noWrap/>
            <w:vAlign w:val="center"/>
            <w:hideMark/>
          </w:tcPr>
          <w:p w14:paraId="2613C340"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0.76</w:t>
            </w:r>
          </w:p>
        </w:tc>
        <w:tc>
          <w:tcPr>
            <w:tcW w:w="670" w:type="dxa"/>
            <w:tcBorders>
              <w:top w:val="nil"/>
              <w:left w:val="nil"/>
              <w:bottom w:val="single" w:sz="4" w:space="0" w:color="auto"/>
              <w:right w:val="single" w:sz="4" w:space="0" w:color="auto"/>
            </w:tcBorders>
            <w:shd w:val="clear" w:color="auto" w:fill="auto"/>
            <w:noWrap/>
            <w:vAlign w:val="center"/>
            <w:hideMark/>
          </w:tcPr>
          <w:p w14:paraId="5F362908"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-2.41</w:t>
            </w:r>
          </w:p>
        </w:tc>
        <w:tc>
          <w:tcPr>
            <w:tcW w:w="571" w:type="dxa"/>
            <w:tcBorders>
              <w:top w:val="nil"/>
              <w:left w:val="nil"/>
              <w:bottom w:val="single" w:sz="4" w:space="0" w:color="auto"/>
              <w:right w:val="single" w:sz="4" w:space="0" w:color="auto"/>
            </w:tcBorders>
            <w:shd w:val="clear" w:color="auto" w:fill="auto"/>
            <w:noWrap/>
            <w:vAlign w:val="center"/>
            <w:hideMark/>
          </w:tcPr>
          <w:p w14:paraId="3BD0F1A2"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0.6</w:t>
            </w:r>
          </w:p>
        </w:tc>
        <w:tc>
          <w:tcPr>
            <w:tcW w:w="732" w:type="dxa"/>
            <w:tcBorders>
              <w:top w:val="nil"/>
              <w:left w:val="nil"/>
              <w:bottom w:val="single" w:sz="4" w:space="0" w:color="auto"/>
              <w:right w:val="single" w:sz="4" w:space="0" w:color="auto"/>
            </w:tcBorders>
            <w:shd w:val="clear" w:color="auto" w:fill="auto"/>
            <w:noWrap/>
            <w:vAlign w:val="center"/>
            <w:hideMark/>
          </w:tcPr>
          <w:p w14:paraId="59D2AE37"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0.66</w:t>
            </w:r>
          </w:p>
        </w:tc>
        <w:tc>
          <w:tcPr>
            <w:tcW w:w="680" w:type="dxa"/>
            <w:tcBorders>
              <w:top w:val="nil"/>
              <w:left w:val="nil"/>
              <w:bottom w:val="single" w:sz="4" w:space="0" w:color="auto"/>
              <w:right w:val="single" w:sz="8" w:space="0" w:color="auto"/>
            </w:tcBorders>
            <w:shd w:val="clear" w:color="auto" w:fill="auto"/>
            <w:noWrap/>
            <w:vAlign w:val="center"/>
            <w:hideMark/>
          </w:tcPr>
          <w:p w14:paraId="02725012"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0.71</w:t>
            </w:r>
          </w:p>
        </w:tc>
      </w:tr>
      <w:tr w:rsidR="009818A0" w:rsidRPr="002748B6" w14:paraId="757590B5" w14:textId="77777777" w:rsidTr="00E212F2">
        <w:trPr>
          <w:trHeight w:val="300"/>
          <w:jc w:val="center"/>
        </w:trPr>
        <w:tc>
          <w:tcPr>
            <w:tcW w:w="935" w:type="dxa"/>
            <w:tcBorders>
              <w:top w:val="nil"/>
              <w:left w:val="single" w:sz="8" w:space="0" w:color="auto"/>
              <w:bottom w:val="single" w:sz="4" w:space="0" w:color="auto"/>
              <w:right w:val="single" w:sz="4" w:space="0" w:color="auto"/>
            </w:tcBorders>
            <w:shd w:val="clear" w:color="auto" w:fill="auto"/>
            <w:noWrap/>
            <w:vAlign w:val="center"/>
            <w:hideMark/>
          </w:tcPr>
          <w:p w14:paraId="3AF6197B"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FL</w:t>
            </w:r>
          </w:p>
        </w:tc>
        <w:tc>
          <w:tcPr>
            <w:tcW w:w="1090" w:type="dxa"/>
            <w:tcBorders>
              <w:top w:val="nil"/>
              <w:left w:val="nil"/>
              <w:bottom w:val="single" w:sz="4" w:space="0" w:color="auto"/>
              <w:right w:val="single" w:sz="4" w:space="0" w:color="auto"/>
            </w:tcBorders>
            <w:shd w:val="clear" w:color="auto" w:fill="auto"/>
            <w:noWrap/>
            <w:vAlign w:val="center"/>
            <w:hideMark/>
          </w:tcPr>
          <w:p w14:paraId="0E3C4DCB"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Dataset</w:t>
            </w:r>
            <w:proofErr w:type="spellEnd"/>
            <w:r w:rsidRPr="005823B9">
              <w:rPr>
                <w:rFonts w:ascii="Times New Roman" w:eastAsia="Times New Roman" w:hAnsi="Times New Roman" w:cs="Times New Roman"/>
                <w:color w:val="000000"/>
                <w:sz w:val="18"/>
                <w:szCs w:val="18"/>
                <w:lang w:val="pt-BR" w:eastAsia="pt-BR"/>
              </w:rPr>
              <w:t xml:space="preserve"> A</w:t>
            </w:r>
          </w:p>
        </w:tc>
        <w:tc>
          <w:tcPr>
            <w:tcW w:w="1008" w:type="dxa"/>
            <w:tcBorders>
              <w:top w:val="nil"/>
              <w:left w:val="nil"/>
              <w:bottom w:val="single" w:sz="4" w:space="0" w:color="auto"/>
              <w:right w:val="single" w:sz="4" w:space="0" w:color="auto"/>
            </w:tcBorders>
            <w:shd w:val="clear" w:color="auto" w:fill="auto"/>
            <w:noWrap/>
            <w:vAlign w:val="center"/>
            <w:hideMark/>
          </w:tcPr>
          <w:p w14:paraId="3A810A83"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Baseline</w:t>
            </w:r>
          </w:p>
        </w:tc>
        <w:tc>
          <w:tcPr>
            <w:tcW w:w="1095" w:type="dxa"/>
            <w:tcBorders>
              <w:top w:val="nil"/>
              <w:left w:val="nil"/>
              <w:bottom w:val="single" w:sz="4" w:space="0" w:color="auto"/>
              <w:right w:val="single" w:sz="4" w:space="0" w:color="auto"/>
            </w:tcBorders>
            <w:shd w:val="clear" w:color="auto" w:fill="auto"/>
            <w:noWrap/>
            <w:vAlign w:val="center"/>
            <w:hideMark/>
          </w:tcPr>
          <w:p w14:paraId="037D0C0D"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w:t>
            </w:r>
          </w:p>
        </w:tc>
        <w:tc>
          <w:tcPr>
            <w:tcW w:w="1505" w:type="dxa"/>
            <w:tcBorders>
              <w:top w:val="nil"/>
              <w:left w:val="nil"/>
              <w:bottom w:val="single" w:sz="4" w:space="0" w:color="auto"/>
              <w:right w:val="single" w:sz="4" w:space="0" w:color="auto"/>
            </w:tcBorders>
            <w:shd w:val="clear" w:color="auto" w:fill="auto"/>
            <w:noWrap/>
            <w:vAlign w:val="center"/>
            <w:hideMark/>
          </w:tcPr>
          <w:p w14:paraId="6F43F4A2"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None</w:t>
            </w:r>
            <w:proofErr w:type="spellEnd"/>
          </w:p>
        </w:tc>
        <w:tc>
          <w:tcPr>
            <w:tcW w:w="455" w:type="dxa"/>
            <w:tcBorders>
              <w:top w:val="nil"/>
              <w:left w:val="nil"/>
              <w:bottom w:val="single" w:sz="4" w:space="0" w:color="auto"/>
              <w:right w:val="single" w:sz="4" w:space="0" w:color="auto"/>
            </w:tcBorders>
            <w:shd w:val="clear" w:color="auto" w:fill="auto"/>
            <w:noWrap/>
            <w:vAlign w:val="center"/>
            <w:hideMark/>
          </w:tcPr>
          <w:p w14:paraId="1D0CE79C"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w:t>
            </w:r>
          </w:p>
        </w:tc>
        <w:tc>
          <w:tcPr>
            <w:tcW w:w="571" w:type="dxa"/>
            <w:tcBorders>
              <w:top w:val="nil"/>
              <w:left w:val="nil"/>
              <w:bottom w:val="single" w:sz="4" w:space="0" w:color="auto"/>
              <w:right w:val="single" w:sz="4" w:space="0" w:color="auto"/>
            </w:tcBorders>
            <w:shd w:val="clear" w:color="auto" w:fill="auto"/>
            <w:noWrap/>
            <w:vAlign w:val="center"/>
            <w:hideMark/>
          </w:tcPr>
          <w:p w14:paraId="131E0FC9"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0.38</w:t>
            </w:r>
          </w:p>
        </w:tc>
        <w:tc>
          <w:tcPr>
            <w:tcW w:w="670" w:type="dxa"/>
            <w:tcBorders>
              <w:top w:val="nil"/>
              <w:left w:val="nil"/>
              <w:bottom w:val="single" w:sz="4" w:space="0" w:color="auto"/>
              <w:right w:val="single" w:sz="4" w:space="0" w:color="auto"/>
            </w:tcBorders>
            <w:shd w:val="clear" w:color="auto" w:fill="auto"/>
            <w:noWrap/>
            <w:vAlign w:val="center"/>
            <w:hideMark/>
          </w:tcPr>
          <w:p w14:paraId="035049C5"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4.69</w:t>
            </w:r>
          </w:p>
        </w:tc>
        <w:tc>
          <w:tcPr>
            <w:tcW w:w="571" w:type="dxa"/>
            <w:tcBorders>
              <w:top w:val="nil"/>
              <w:left w:val="nil"/>
              <w:bottom w:val="single" w:sz="4" w:space="0" w:color="auto"/>
              <w:right w:val="single" w:sz="4" w:space="0" w:color="auto"/>
            </w:tcBorders>
            <w:shd w:val="clear" w:color="auto" w:fill="auto"/>
            <w:noWrap/>
            <w:vAlign w:val="center"/>
            <w:hideMark/>
          </w:tcPr>
          <w:p w14:paraId="3A2AC370"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1.42</w:t>
            </w:r>
          </w:p>
        </w:tc>
        <w:tc>
          <w:tcPr>
            <w:tcW w:w="732" w:type="dxa"/>
            <w:tcBorders>
              <w:top w:val="nil"/>
              <w:left w:val="nil"/>
              <w:bottom w:val="single" w:sz="4" w:space="0" w:color="auto"/>
              <w:right w:val="single" w:sz="4" w:space="0" w:color="auto"/>
            </w:tcBorders>
            <w:shd w:val="clear" w:color="auto" w:fill="auto"/>
            <w:noWrap/>
            <w:vAlign w:val="center"/>
            <w:hideMark/>
          </w:tcPr>
          <w:p w14:paraId="1598745D"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0.25</w:t>
            </w:r>
          </w:p>
        </w:tc>
        <w:tc>
          <w:tcPr>
            <w:tcW w:w="680" w:type="dxa"/>
            <w:tcBorders>
              <w:top w:val="nil"/>
              <w:left w:val="nil"/>
              <w:bottom w:val="single" w:sz="4" w:space="0" w:color="auto"/>
              <w:right w:val="single" w:sz="8" w:space="0" w:color="auto"/>
            </w:tcBorders>
            <w:shd w:val="clear" w:color="auto" w:fill="auto"/>
            <w:noWrap/>
            <w:vAlign w:val="center"/>
            <w:hideMark/>
          </w:tcPr>
          <w:p w14:paraId="14B4C1A5"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0.29</w:t>
            </w:r>
          </w:p>
        </w:tc>
      </w:tr>
      <w:tr w:rsidR="009818A0" w:rsidRPr="002748B6" w14:paraId="0B2D5C47" w14:textId="77777777" w:rsidTr="00E212F2">
        <w:trPr>
          <w:trHeight w:val="300"/>
          <w:jc w:val="center"/>
        </w:trPr>
        <w:tc>
          <w:tcPr>
            <w:tcW w:w="935" w:type="dxa"/>
            <w:tcBorders>
              <w:top w:val="nil"/>
              <w:left w:val="single" w:sz="8" w:space="0" w:color="auto"/>
              <w:bottom w:val="single" w:sz="4" w:space="0" w:color="auto"/>
              <w:right w:val="single" w:sz="4" w:space="0" w:color="auto"/>
            </w:tcBorders>
            <w:shd w:val="clear" w:color="auto" w:fill="auto"/>
            <w:noWrap/>
            <w:vAlign w:val="center"/>
            <w:hideMark/>
          </w:tcPr>
          <w:p w14:paraId="3A3D71AE"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lastRenderedPageBreak/>
              <w:t>FL</w:t>
            </w:r>
          </w:p>
        </w:tc>
        <w:tc>
          <w:tcPr>
            <w:tcW w:w="1090" w:type="dxa"/>
            <w:tcBorders>
              <w:top w:val="nil"/>
              <w:left w:val="nil"/>
              <w:bottom w:val="single" w:sz="4" w:space="0" w:color="auto"/>
              <w:right w:val="single" w:sz="4" w:space="0" w:color="auto"/>
            </w:tcBorders>
            <w:shd w:val="clear" w:color="auto" w:fill="auto"/>
            <w:noWrap/>
            <w:vAlign w:val="center"/>
            <w:hideMark/>
          </w:tcPr>
          <w:p w14:paraId="623EF8D9"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Dataset</w:t>
            </w:r>
            <w:proofErr w:type="spellEnd"/>
            <w:r w:rsidRPr="005823B9">
              <w:rPr>
                <w:rFonts w:ascii="Times New Roman" w:eastAsia="Times New Roman" w:hAnsi="Times New Roman" w:cs="Times New Roman"/>
                <w:color w:val="000000"/>
                <w:sz w:val="18"/>
                <w:szCs w:val="18"/>
                <w:lang w:val="pt-BR" w:eastAsia="pt-BR"/>
              </w:rPr>
              <w:t xml:space="preserve"> A</w:t>
            </w:r>
          </w:p>
        </w:tc>
        <w:tc>
          <w:tcPr>
            <w:tcW w:w="1008" w:type="dxa"/>
            <w:tcBorders>
              <w:top w:val="nil"/>
              <w:left w:val="nil"/>
              <w:bottom w:val="single" w:sz="4" w:space="0" w:color="auto"/>
              <w:right w:val="single" w:sz="4" w:space="0" w:color="auto"/>
            </w:tcBorders>
            <w:shd w:val="clear" w:color="auto" w:fill="auto"/>
            <w:noWrap/>
            <w:vAlign w:val="center"/>
            <w:hideMark/>
          </w:tcPr>
          <w:p w14:paraId="24DD9877"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Best</w:t>
            </w:r>
          </w:p>
        </w:tc>
        <w:tc>
          <w:tcPr>
            <w:tcW w:w="1095" w:type="dxa"/>
            <w:tcBorders>
              <w:top w:val="nil"/>
              <w:left w:val="nil"/>
              <w:bottom w:val="single" w:sz="4" w:space="0" w:color="auto"/>
              <w:right w:val="single" w:sz="4" w:space="0" w:color="auto"/>
            </w:tcBorders>
            <w:shd w:val="clear" w:color="auto" w:fill="auto"/>
            <w:noWrap/>
            <w:vAlign w:val="center"/>
            <w:hideMark/>
          </w:tcPr>
          <w:p w14:paraId="642EDBD4"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4</w:t>
            </w:r>
          </w:p>
        </w:tc>
        <w:tc>
          <w:tcPr>
            <w:tcW w:w="1505" w:type="dxa"/>
            <w:tcBorders>
              <w:top w:val="nil"/>
              <w:left w:val="nil"/>
              <w:bottom w:val="single" w:sz="4" w:space="0" w:color="auto"/>
              <w:right w:val="single" w:sz="4" w:space="0" w:color="auto"/>
            </w:tcBorders>
            <w:shd w:val="clear" w:color="auto" w:fill="auto"/>
            <w:noWrap/>
            <w:vAlign w:val="center"/>
            <w:hideMark/>
          </w:tcPr>
          <w:p w14:paraId="74B4429B"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SMOTE</w:t>
            </w:r>
          </w:p>
        </w:tc>
        <w:tc>
          <w:tcPr>
            <w:tcW w:w="455" w:type="dxa"/>
            <w:tcBorders>
              <w:top w:val="nil"/>
              <w:left w:val="nil"/>
              <w:bottom w:val="single" w:sz="4" w:space="0" w:color="auto"/>
              <w:right w:val="single" w:sz="4" w:space="0" w:color="auto"/>
            </w:tcBorders>
            <w:shd w:val="clear" w:color="auto" w:fill="auto"/>
            <w:noWrap/>
            <w:vAlign w:val="center"/>
            <w:hideMark/>
          </w:tcPr>
          <w:p w14:paraId="426C3868"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2.5</w:t>
            </w:r>
          </w:p>
        </w:tc>
        <w:tc>
          <w:tcPr>
            <w:tcW w:w="571" w:type="dxa"/>
            <w:tcBorders>
              <w:top w:val="nil"/>
              <w:left w:val="nil"/>
              <w:bottom w:val="single" w:sz="4" w:space="0" w:color="auto"/>
              <w:right w:val="single" w:sz="4" w:space="0" w:color="auto"/>
            </w:tcBorders>
            <w:shd w:val="clear" w:color="auto" w:fill="auto"/>
            <w:noWrap/>
            <w:vAlign w:val="center"/>
            <w:hideMark/>
          </w:tcPr>
          <w:p w14:paraId="4CBCD09C"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0.39</w:t>
            </w:r>
          </w:p>
        </w:tc>
        <w:tc>
          <w:tcPr>
            <w:tcW w:w="670" w:type="dxa"/>
            <w:tcBorders>
              <w:top w:val="nil"/>
              <w:left w:val="nil"/>
              <w:bottom w:val="single" w:sz="4" w:space="0" w:color="auto"/>
              <w:right w:val="single" w:sz="4" w:space="0" w:color="auto"/>
            </w:tcBorders>
            <w:shd w:val="clear" w:color="auto" w:fill="auto"/>
            <w:noWrap/>
            <w:vAlign w:val="center"/>
            <w:hideMark/>
          </w:tcPr>
          <w:p w14:paraId="029BE0EB"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-11.99</w:t>
            </w:r>
          </w:p>
        </w:tc>
        <w:tc>
          <w:tcPr>
            <w:tcW w:w="571" w:type="dxa"/>
            <w:tcBorders>
              <w:top w:val="nil"/>
              <w:left w:val="nil"/>
              <w:bottom w:val="single" w:sz="4" w:space="0" w:color="auto"/>
              <w:right w:val="single" w:sz="4" w:space="0" w:color="auto"/>
            </w:tcBorders>
            <w:shd w:val="clear" w:color="auto" w:fill="auto"/>
            <w:noWrap/>
            <w:vAlign w:val="center"/>
            <w:hideMark/>
          </w:tcPr>
          <w:p w14:paraId="31104E98"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1.12</w:t>
            </w:r>
          </w:p>
        </w:tc>
        <w:tc>
          <w:tcPr>
            <w:tcW w:w="732" w:type="dxa"/>
            <w:tcBorders>
              <w:top w:val="nil"/>
              <w:left w:val="nil"/>
              <w:bottom w:val="single" w:sz="4" w:space="0" w:color="auto"/>
              <w:right w:val="single" w:sz="4" w:space="0" w:color="auto"/>
            </w:tcBorders>
            <w:shd w:val="clear" w:color="auto" w:fill="auto"/>
            <w:noWrap/>
            <w:vAlign w:val="center"/>
            <w:hideMark/>
          </w:tcPr>
          <w:p w14:paraId="59A3F20A"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0.18</w:t>
            </w:r>
          </w:p>
        </w:tc>
        <w:tc>
          <w:tcPr>
            <w:tcW w:w="680" w:type="dxa"/>
            <w:tcBorders>
              <w:top w:val="nil"/>
              <w:left w:val="nil"/>
              <w:bottom w:val="single" w:sz="4" w:space="0" w:color="auto"/>
              <w:right w:val="single" w:sz="8" w:space="0" w:color="auto"/>
            </w:tcBorders>
            <w:shd w:val="clear" w:color="auto" w:fill="auto"/>
            <w:noWrap/>
            <w:vAlign w:val="center"/>
            <w:hideMark/>
          </w:tcPr>
          <w:p w14:paraId="01894BCB"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0.34</w:t>
            </w:r>
          </w:p>
        </w:tc>
      </w:tr>
      <w:tr w:rsidR="009818A0" w:rsidRPr="00E533E7" w14:paraId="3AC69164" w14:textId="77777777" w:rsidTr="00E212F2">
        <w:trPr>
          <w:trHeight w:val="300"/>
          <w:jc w:val="center"/>
        </w:trPr>
        <w:tc>
          <w:tcPr>
            <w:tcW w:w="935" w:type="dxa"/>
            <w:tcBorders>
              <w:top w:val="nil"/>
              <w:left w:val="single" w:sz="8" w:space="0" w:color="auto"/>
              <w:bottom w:val="single" w:sz="4" w:space="0" w:color="auto"/>
              <w:right w:val="single" w:sz="4" w:space="0" w:color="auto"/>
            </w:tcBorders>
            <w:shd w:val="clear" w:color="auto" w:fill="auto"/>
            <w:noWrap/>
            <w:vAlign w:val="center"/>
            <w:hideMark/>
          </w:tcPr>
          <w:p w14:paraId="6639C5BE"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FL</w:t>
            </w:r>
          </w:p>
        </w:tc>
        <w:tc>
          <w:tcPr>
            <w:tcW w:w="1090" w:type="dxa"/>
            <w:tcBorders>
              <w:top w:val="nil"/>
              <w:left w:val="nil"/>
              <w:bottom w:val="single" w:sz="4" w:space="0" w:color="auto"/>
              <w:right w:val="single" w:sz="4" w:space="0" w:color="auto"/>
            </w:tcBorders>
            <w:shd w:val="clear" w:color="auto" w:fill="auto"/>
            <w:noWrap/>
            <w:vAlign w:val="center"/>
            <w:hideMark/>
          </w:tcPr>
          <w:p w14:paraId="5163E6F9"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Dataset</w:t>
            </w:r>
            <w:proofErr w:type="spellEnd"/>
            <w:r w:rsidRPr="005823B9">
              <w:rPr>
                <w:rFonts w:ascii="Times New Roman" w:eastAsia="Times New Roman" w:hAnsi="Times New Roman" w:cs="Times New Roman"/>
                <w:color w:val="000000"/>
                <w:sz w:val="18"/>
                <w:szCs w:val="18"/>
                <w:lang w:val="pt-BR" w:eastAsia="pt-BR"/>
              </w:rPr>
              <w:t xml:space="preserve"> B</w:t>
            </w:r>
          </w:p>
        </w:tc>
        <w:tc>
          <w:tcPr>
            <w:tcW w:w="1008" w:type="dxa"/>
            <w:tcBorders>
              <w:top w:val="nil"/>
              <w:left w:val="nil"/>
              <w:bottom w:val="single" w:sz="4" w:space="0" w:color="auto"/>
              <w:right w:val="single" w:sz="4" w:space="0" w:color="auto"/>
            </w:tcBorders>
            <w:shd w:val="clear" w:color="auto" w:fill="auto"/>
            <w:noWrap/>
            <w:vAlign w:val="center"/>
            <w:hideMark/>
          </w:tcPr>
          <w:p w14:paraId="00A0B1A2"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Baseline</w:t>
            </w:r>
          </w:p>
        </w:tc>
        <w:tc>
          <w:tcPr>
            <w:tcW w:w="1095" w:type="dxa"/>
            <w:tcBorders>
              <w:top w:val="nil"/>
              <w:left w:val="nil"/>
              <w:bottom w:val="single" w:sz="4" w:space="0" w:color="auto"/>
              <w:right w:val="single" w:sz="4" w:space="0" w:color="auto"/>
            </w:tcBorders>
            <w:shd w:val="clear" w:color="auto" w:fill="auto"/>
            <w:noWrap/>
            <w:vAlign w:val="center"/>
            <w:hideMark/>
          </w:tcPr>
          <w:p w14:paraId="2FCB38CB"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w:t>
            </w:r>
          </w:p>
        </w:tc>
        <w:tc>
          <w:tcPr>
            <w:tcW w:w="1505" w:type="dxa"/>
            <w:tcBorders>
              <w:top w:val="nil"/>
              <w:left w:val="nil"/>
              <w:bottom w:val="single" w:sz="4" w:space="0" w:color="auto"/>
              <w:right w:val="single" w:sz="4" w:space="0" w:color="auto"/>
            </w:tcBorders>
            <w:shd w:val="clear" w:color="auto" w:fill="auto"/>
            <w:noWrap/>
            <w:vAlign w:val="center"/>
            <w:hideMark/>
          </w:tcPr>
          <w:p w14:paraId="224E8C48"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None</w:t>
            </w:r>
            <w:proofErr w:type="spellEnd"/>
          </w:p>
        </w:tc>
        <w:tc>
          <w:tcPr>
            <w:tcW w:w="455" w:type="dxa"/>
            <w:tcBorders>
              <w:top w:val="nil"/>
              <w:left w:val="nil"/>
              <w:bottom w:val="single" w:sz="4" w:space="0" w:color="auto"/>
              <w:right w:val="single" w:sz="4" w:space="0" w:color="auto"/>
            </w:tcBorders>
            <w:shd w:val="clear" w:color="auto" w:fill="auto"/>
            <w:noWrap/>
            <w:vAlign w:val="center"/>
            <w:hideMark/>
          </w:tcPr>
          <w:p w14:paraId="3A685E8A"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w:t>
            </w:r>
          </w:p>
        </w:tc>
        <w:tc>
          <w:tcPr>
            <w:tcW w:w="571" w:type="dxa"/>
            <w:tcBorders>
              <w:top w:val="nil"/>
              <w:left w:val="nil"/>
              <w:bottom w:val="single" w:sz="4" w:space="0" w:color="auto"/>
              <w:right w:val="single" w:sz="4" w:space="0" w:color="auto"/>
            </w:tcBorders>
            <w:shd w:val="clear" w:color="auto" w:fill="auto"/>
            <w:noWrap/>
            <w:vAlign w:val="center"/>
            <w:hideMark/>
          </w:tcPr>
          <w:p w14:paraId="50FFB50D"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0.64</w:t>
            </w:r>
          </w:p>
        </w:tc>
        <w:tc>
          <w:tcPr>
            <w:tcW w:w="670" w:type="dxa"/>
            <w:tcBorders>
              <w:top w:val="nil"/>
              <w:left w:val="nil"/>
              <w:bottom w:val="single" w:sz="4" w:space="0" w:color="auto"/>
              <w:right w:val="single" w:sz="4" w:space="0" w:color="auto"/>
            </w:tcBorders>
            <w:shd w:val="clear" w:color="auto" w:fill="auto"/>
            <w:noWrap/>
            <w:vAlign w:val="center"/>
            <w:hideMark/>
          </w:tcPr>
          <w:p w14:paraId="7CD19EDE"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-3.87</w:t>
            </w:r>
          </w:p>
        </w:tc>
        <w:tc>
          <w:tcPr>
            <w:tcW w:w="571" w:type="dxa"/>
            <w:tcBorders>
              <w:top w:val="nil"/>
              <w:left w:val="nil"/>
              <w:bottom w:val="single" w:sz="4" w:space="0" w:color="auto"/>
              <w:right w:val="single" w:sz="4" w:space="0" w:color="auto"/>
            </w:tcBorders>
            <w:shd w:val="clear" w:color="auto" w:fill="auto"/>
            <w:noWrap/>
            <w:vAlign w:val="center"/>
            <w:hideMark/>
          </w:tcPr>
          <w:p w14:paraId="10C8A11D"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0.73</w:t>
            </w:r>
          </w:p>
        </w:tc>
        <w:tc>
          <w:tcPr>
            <w:tcW w:w="732" w:type="dxa"/>
            <w:tcBorders>
              <w:top w:val="nil"/>
              <w:left w:val="nil"/>
              <w:bottom w:val="single" w:sz="4" w:space="0" w:color="auto"/>
              <w:right w:val="single" w:sz="4" w:space="0" w:color="auto"/>
            </w:tcBorders>
            <w:shd w:val="clear" w:color="auto" w:fill="auto"/>
            <w:noWrap/>
            <w:vAlign w:val="center"/>
            <w:hideMark/>
          </w:tcPr>
          <w:p w14:paraId="7BD98FC0"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0.85</w:t>
            </w:r>
          </w:p>
        </w:tc>
        <w:tc>
          <w:tcPr>
            <w:tcW w:w="680" w:type="dxa"/>
            <w:tcBorders>
              <w:top w:val="nil"/>
              <w:left w:val="nil"/>
              <w:bottom w:val="single" w:sz="4" w:space="0" w:color="auto"/>
              <w:right w:val="single" w:sz="8" w:space="0" w:color="auto"/>
            </w:tcBorders>
            <w:shd w:val="clear" w:color="auto" w:fill="auto"/>
            <w:noWrap/>
            <w:vAlign w:val="center"/>
            <w:hideMark/>
          </w:tcPr>
          <w:p w14:paraId="646CBE1F"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0.58</w:t>
            </w:r>
          </w:p>
        </w:tc>
      </w:tr>
      <w:tr w:rsidR="009818A0" w:rsidRPr="00CD39F4" w14:paraId="283AD527" w14:textId="77777777" w:rsidTr="00E212F2">
        <w:trPr>
          <w:trHeight w:val="300"/>
          <w:jc w:val="center"/>
        </w:trPr>
        <w:tc>
          <w:tcPr>
            <w:tcW w:w="935" w:type="dxa"/>
            <w:tcBorders>
              <w:top w:val="nil"/>
              <w:left w:val="single" w:sz="8" w:space="0" w:color="auto"/>
              <w:bottom w:val="single" w:sz="8" w:space="0" w:color="auto"/>
              <w:right w:val="single" w:sz="4" w:space="0" w:color="auto"/>
            </w:tcBorders>
            <w:shd w:val="clear" w:color="auto" w:fill="auto"/>
            <w:noWrap/>
            <w:vAlign w:val="center"/>
            <w:hideMark/>
          </w:tcPr>
          <w:p w14:paraId="6EC472E8"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FL</w:t>
            </w:r>
          </w:p>
        </w:tc>
        <w:tc>
          <w:tcPr>
            <w:tcW w:w="1090" w:type="dxa"/>
            <w:tcBorders>
              <w:top w:val="nil"/>
              <w:left w:val="nil"/>
              <w:bottom w:val="single" w:sz="8" w:space="0" w:color="auto"/>
              <w:right w:val="single" w:sz="4" w:space="0" w:color="auto"/>
            </w:tcBorders>
            <w:shd w:val="clear" w:color="auto" w:fill="auto"/>
            <w:noWrap/>
            <w:vAlign w:val="center"/>
            <w:hideMark/>
          </w:tcPr>
          <w:p w14:paraId="0179165C"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proofErr w:type="spellStart"/>
            <w:r w:rsidRPr="005823B9">
              <w:rPr>
                <w:rFonts w:ascii="Times New Roman" w:eastAsia="Times New Roman" w:hAnsi="Times New Roman" w:cs="Times New Roman"/>
                <w:color w:val="000000"/>
                <w:sz w:val="18"/>
                <w:szCs w:val="18"/>
                <w:lang w:val="pt-BR" w:eastAsia="pt-BR"/>
              </w:rPr>
              <w:t>Dataset</w:t>
            </w:r>
            <w:proofErr w:type="spellEnd"/>
            <w:r w:rsidRPr="005823B9">
              <w:rPr>
                <w:rFonts w:ascii="Times New Roman" w:eastAsia="Times New Roman" w:hAnsi="Times New Roman" w:cs="Times New Roman"/>
                <w:color w:val="000000"/>
                <w:sz w:val="18"/>
                <w:szCs w:val="18"/>
                <w:lang w:val="pt-BR" w:eastAsia="pt-BR"/>
              </w:rPr>
              <w:t xml:space="preserve"> B</w:t>
            </w:r>
          </w:p>
        </w:tc>
        <w:tc>
          <w:tcPr>
            <w:tcW w:w="1008" w:type="dxa"/>
            <w:tcBorders>
              <w:top w:val="nil"/>
              <w:left w:val="nil"/>
              <w:bottom w:val="single" w:sz="8" w:space="0" w:color="auto"/>
              <w:right w:val="single" w:sz="4" w:space="0" w:color="auto"/>
            </w:tcBorders>
            <w:shd w:val="clear" w:color="auto" w:fill="auto"/>
            <w:noWrap/>
            <w:vAlign w:val="center"/>
            <w:hideMark/>
          </w:tcPr>
          <w:p w14:paraId="1D5B8670"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Best</w:t>
            </w:r>
          </w:p>
        </w:tc>
        <w:tc>
          <w:tcPr>
            <w:tcW w:w="1095" w:type="dxa"/>
            <w:tcBorders>
              <w:top w:val="nil"/>
              <w:left w:val="nil"/>
              <w:bottom w:val="single" w:sz="8" w:space="0" w:color="auto"/>
              <w:right w:val="single" w:sz="4" w:space="0" w:color="auto"/>
            </w:tcBorders>
            <w:shd w:val="clear" w:color="auto" w:fill="auto"/>
            <w:noWrap/>
            <w:vAlign w:val="center"/>
            <w:hideMark/>
          </w:tcPr>
          <w:p w14:paraId="5B41474F"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3</w:t>
            </w:r>
          </w:p>
        </w:tc>
        <w:tc>
          <w:tcPr>
            <w:tcW w:w="1505" w:type="dxa"/>
            <w:tcBorders>
              <w:top w:val="nil"/>
              <w:left w:val="nil"/>
              <w:bottom w:val="single" w:sz="8" w:space="0" w:color="auto"/>
              <w:right w:val="single" w:sz="4" w:space="0" w:color="auto"/>
            </w:tcBorders>
            <w:shd w:val="clear" w:color="auto" w:fill="auto"/>
            <w:noWrap/>
            <w:vAlign w:val="center"/>
            <w:hideMark/>
          </w:tcPr>
          <w:p w14:paraId="7259981F"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SVM SMOTE</w:t>
            </w:r>
          </w:p>
        </w:tc>
        <w:tc>
          <w:tcPr>
            <w:tcW w:w="455" w:type="dxa"/>
            <w:tcBorders>
              <w:top w:val="nil"/>
              <w:left w:val="nil"/>
              <w:bottom w:val="single" w:sz="8" w:space="0" w:color="auto"/>
              <w:right w:val="single" w:sz="4" w:space="0" w:color="auto"/>
            </w:tcBorders>
            <w:shd w:val="clear" w:color="auto" w:fill="auto"/>
            <w:noWrap/>
            <w:vAlign w:val="center"/>
            <w:hideMark/>
          </w:tcPr>
          <w:p w14:paraId="722DCD80"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1.5</w:t>
            </w:r>
          </w:p>
        </w:tc>
        <w:tc>
          <w:tcPr>
            <w:tcW w:w="571" w:type="dxa"/>
            <w:tcBorders>
              <w:top w:val="nil"/>
              <w:left w:val="nil"/>
              <w:bottom w:val="single" w:sz="8" w:space="0" w:color="auto"/>
              <w:right w:val="single" w:sz="4" w:space="0" w:color="auto"/>
            </w:tcBorders>
            <w:shd w:val="clear" w:color="auto" w:fill="auto"/>
            <w:noWrap/>
            <w:vAlign w:val="center"/>
            <w:hideMark/>
          </w:tcPr>
          <w:p w14:paraId="6231AB99"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0.71</w:t>
            </w:r>
          </w:p>
        </w:tc>
        <w:tc>
          <w:tcPr>
            <w:tcW w:w="670" w:type="dxa"/>
            <w:tcBorders>
              <w:top w:val="nil"/>
              <w:left w:val="nil"/>
              <w:bottom w:val="single" w:sz="8" w:space="0" w:color="auto"/>
              <w:right w:val="single" w:sz="4" w:space="0" w:color="auto"/>
            </w:tcBorders>
            <w:shd w:val="clear" w:color="auto" w:fill="auto"/>
            <w:noWrap/>
            <w:vAlign w:val="center"/>
            <w:hideMark/>
          </w:tcPr>
          <w:p w14:paraId="2690EF6A"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-10.77</w:t>
            </w:r>
          </w:p>
        </w:tc>
        <w:tc>
          <w:tcPr>
            <w:tcW w:w="571" w:type="dxa"/>
            <w:tcBorders>
              <w:top w:val="nil"/>
              <w:left w:val="nil"/>
              <w:bottom w:val="single" w:sz="8" w:space="0" w:color="auto"/>
              <w:right w:val="single" w:sz="4" w:space="0" w:color="auto"/>
            </w:tcBorders>
            <w:shd w:val="clear" w:color="auto" w:fill="auto"/>
            <w:noWrap/>
            <w:vAlign w:val="center"/>
            <w:hideMark/>
          </w:tcPr>
          <w:p w14:paraId="213D7F64"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0.64</w:t>
            </w:r>
          </w:p>
        </w:tc>
        <w:tc>
          <w:tcPr>
            <w:tcW w:w="732" w:type="dxa"/>
            <w:tcBorders>
              <w:top w:val="nil"/>
              <w:left w:val="nil"/>
              <w:bottom w:val="single" w:sz="8" w:space="0" w:color="auto"/>
              <w:right w:val="single" w:sz="4" w:space="0" w:color="auto"/>
            </w:tcBorders>
            <w:shd w:val="clear" w:color="auto" w:fill="auto"/>
            <w:noWrap/>
            <w:vAlign w:val="center"/>
            <w:hideMark/>
          </w:tcPr>
          <w:p w14:paraId="4F4CD68D"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0.85</w:t>
            </w:r>
          </w:p>
        </w:tc>
        <w:tc>
          <w:tcPr>
            <w:tcW w:w="680" w:type="dxa"/>
            <w:tcBorders>
              <w:top w:val="nil"/>
              <w:left w:val="nil"/>
              <w:bottom w:val="single" w:sz="8" w:space="0" w:color="auto"/>
              <w:right w:val="single" w:sz="8" w:space="0" w:color="auto"/>
            </w:tcBorders>
            <w:shd w:val="clear" w:color="auto" w:fill="auto"/>
            <w:noWrap/>
            <w:vAlign w:val="center"/>
            <w:hideMark/>
          </w:tcPr>
          <w:p w14:paraId="51CFB40A" w14:textId="77777777" w:rsidR="009818A0" w:rsidRPr="005823B9" w:rsidRDefault="009818A0" w:rsidP="00514A66">
            <w:pPr>
              <w:spacing w:after="0" w:line="240" w:lineRule="auto"/>
              <w:jc w:val="center"/>
              <w:rPr>
                <w:rFonts w:ascii="Times New Roman" w:eastAsia="Times New Roman" w:hAnsi="Times New Roman" w:cs="Times New Roman"/>
                <w:color w:val="000000"/>
                <w:sz w:val="18"/>
                <w:szCs w:val="18"/>
                <w:lang w:val="pt-BR" w:eastAsia="pt-BR"/>
              </w:rPr>
            </w:pPr>
            <w:r w:rsidRPr="005823B9">
              <w:rPr>
                <w:rFonts w:ascii="Times New Roman" w:eastAsia="Times New Roman" w:hAnsi="Times New Roman" w:cs="Times New Roman"/>
                <w:color w:val="000000"/>
                <w:sz w:val="18"/>
                <w:szCs w:val="18"/>
                <w:lang w:val="pt-BR" w:eastAsia="pt-BR"/>
              </w:rPr>
              <w:t>0.66</w:t>
            </w:r>
          </w:p>
        </w:tc>
      </w:tr>
    </w:tbl>
    <w:p w14:paraId="61EFB542" w14:textId="77777777" w:rsidR="00BE60C6" w:rsidRDefault="00BE60C6" w:rsidP="00C1124E">
      <w:pPr>
        <w:pStyle w:val="IAHRtext"/>
        <w:jc w:val="center"/>
      </w:pPr>
    </w:p>
    <w:p w14:paraId="45962DAF" w14:textId="77777777" w:rsidR="00BE60C6" w:rsidRDefault="00C1124E" w:rsidP="00BE60C6">
      <w:pPr>
        <w:pStyle w:val="IAHRtext"/>
        <w:keepNext/>
        <w:jc w:val="center"/>
      </w:pPr>
      <w:r>
        <w:rPr>
          <w:noProof/>
          <w:lang w:val="en-GB" w:eastAsia="en-GB"/>
        </w:rPr>
        <w:drawing>
          <wp:inline distT="0" distB="0" distL="0" distR="0" wp14:anchorId="0FAA109A" wp14:editId="6E002376">
            <wp:extent cx="5303520" cy="2633472"/>
            <wp:effectExtent l="0" t="0" r="0" b="0"/>
            <wp:docPr id="2131388308" name="Imagen 9"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88308" name="Imagen 9" descr="Gráfico, Gráfico de dispersión&#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3520" cy="2633472"/>
                    </a:xfrm>
                    <a:prstGeom prst="rect">
                      <a:avLst/>
                    </a:prstGeom>
                  </pic:spPr>
                </pic:pic>
              </a:graphicData>
            </a:graphic>
          </wp:inline>
        </w:drawing>
      </w:r>
    </w:p>
    <w:p w14:paraId="75FC4F0F" w14:textId="59DA619B" w:rsidR="00B11374" w:rsidRPr="00893447" w:rsidRDefault="00BE60C6" w:rsidP="00782835">
      <w:pPr>
        <w:pStyle w:val="IAHRfigurecaptio"/>
      </w:pPr>
      <w:r w:rsidRPr="00782835">
        <w:rPr>
          <w:b/>
          <w:bCs/>
        </w:rPr>
        <w:t xml:space="preserve">Figure </w:t>
      </w:r>
      <w:r w:rsidRPr="00782835">
        <w:rPr>
          <w:b/>
          <w:bCs/>
        </w:rPr>
        <w:fldChar w:fldCharType="begin"/>
      </w:r>
      <w:r w:rsidRPr="00782835">
        <w:rPr>
          <w:b/>
          <w:bCs/>
        </w:rPr>
        <w:instrText xml:space="preserve"> SEQ Figure \* ARABIC </w:instrText>
      </w:r>
      <w:r w:rsidRPr="00782835">
        <w:rPr>
          <w:b/>
          <w:bCs/>
        </w:rPr>
        <w:fldChar w:fldCharType="separate"/>
      </w:r>
      <w:r w:rsidR="00782835">
        <w:rPr>
          <w:b/>
          <w:bCs/>
          <w:noProof/>
        </w:rPr>
        <w:t>3</w:t>
      </w:r>
      <w:r w:rsidRPr="00782835">
        <w:rPr>
          <w:b/>
          <w:bCs/>
        </w:rPr>
        <w:fldChar w:fldCharType="end"/>
      </w:r>
      <w:r w:rsidRPr="00893447">
        <w:t xml:space="preserve">. </w:t>
      </w:r>
      <w:r w:rsidR="00893447" w:rsidRPr="00893447">
        <w:t>Comparative results of b</w:t>
      </w:r>
      <w:r w:rsidR="00893447">
        <w:t xml:space="preserve">aseline (left) and best (right) models for Dataset </w:t>
      </w:r>
      <w:r w:rsidR="00782835">
        <w:t>A</w:t>
      </w:r>
      <w:r w:rsidR="00893447">
        <w:t xml:space="preserve"> </w:t>
      </w:r>
      <w:r w:rsidR="00782835">
        <w:t>in</w:t>
      </w:r>
      <w:r w:rsidR="00893447">
        <w:t xml:space="preserve"> Paso Severino watershed</w:t>
      </w:r>
      <w:r w:rsidR="00782835">
        <w:t xml:space="preserve">. </w:t>
      </w:r>
      <w:r w:rsidR="00866E93">
        <w:t xml:space="preserve">The </w:t>
      </w:r>
      <w:proofErr w:type="spellStart"/>
      <w:r w:rsidR="00866E93">
        <w:t>colors</w:t>
      </w:r>
      <w:proofErr w:type="spellEnd"/>
      <w:r w:rsidR="00866E93">
        <w:t xml:space="preserve"> </w:t>
      </w:r>
      <w:r w:rsidR="00782835">
        <w:t>in the right image correspond to the classes assigned to each observation.</w:t>
      </w:r>
    </w:p>
    <w:p w14:paraId="2BB70AEF" w14:textId="77777777" w:rsidR="009930DE" w:rsidRDefault="009930DE" w:rsidP="00C1124E">
      <w:pPr>
        <w:pStyle w:val="IAHRtext"/>
        <w:jc w:val="center"/>
      </w:pPr>
    </w:p>
    <w:p w14:paraId="1D78F457" w14:textId="77777777" w:rsidR="00782835" w:rsidRDefault="00E212F2" w:rsidP="00782835">
      <w:pPr>
        <w:pStyle w:val="IAHRtext"/>
        <w:keepNext/>
        <w:jc w:val="center"/>
      </w:pPr>
      <w:r>
        <w:rPr>
          <w:noProof/>
          <w:lang w:val="en-GB" w:eastAsia="en-GB"/>
        </w:rPr>
        <w:drawing>
          <wp:inline distT="0" distB="0" distL="0" distR="0" wp14:anchorId="22DE82FE" wp14:editId="00F143F3">
            <wp:extent cx="5349240" cy="2670048"/>
            <wp:effectExtent l="0" t="0" r="3810" b="0"/>
            <wp:docPr id="1398609777" name="Imagen 10"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09777" name="Imagen 10" descr="Gráfico, Gráfico de dispersión&#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9240" cy="2670048"/>
                    </a:xfrm>
                    <a:prstGeom prst="rect">
                      <a:avLst/>
                    </a:prstGeom>
                  </pic:spPr>
                </pic:pic>
              </a:graphicData>
            </a:graphic>
          </wp:inline>
        </w:drawing>
      </w:r>
    </w:p>
    <w:p w14:paraId="796E4E79" w14:textId="713795CE" w:rsidR="00BE60C6" w:rsidRDefault="00782835" w:rsidP="00782835">
      <w:pPr>
        <w:pStyle w:val="IAHRfigurecaptio"/>
      </w:pPr>
      <w:r w:rsidRPr="00782835">
        <w:rPr>
          <w:b/>
          <w:bCs/>
        </w:rPr>
        <w:t xml:space="preserve">Figure </w:t>
      </w:r>
      <w:r w:rsidRPr="00782835">
        <w:rPr>
          <w:b/>
          <w:bCs/>
        </w:rPr>
        <w:fldChar w:fldCharType="begin"/>
      </w:r>
      <w:r w:rsidRPr="00782835">
        <w:rPr>
          <w:b/>
          <w:bCs/>
        </w:rPr>
        <w:instrText xml:space="preserve"> SEQ Figure \* ARABIC </w:instrText>
      </w:r>
      <w:r w:rsidRPr="00782835">
        <w:rPr>
          <w:b/>
          <w:bCs/>
        </w:rPr>
        <w:fldChar w:fldCharType="separate"/>
      </w:r>
      <w:r>
        <w:rPr>
          <w:b/>
          <w:bCs/>
          <w:noProof/>
        </w:rPr>
        <w:t>4</w:t>
      </w:r>
      <w:r w:rsidRPr="00782835">
        <w:rPr>
          <w:b/>
          <w:bCs/>
        </w:rPr>
        <w:fldChar w:fldCharType="end"/>
      </w:r>
      <w:r w:rsidRPr="00782835">
        <w:t xml:space="preserve">. </w:t>
      </w:r>
      <w:r w:rsidRPr="00893447">
        <w:t>Comparative results of b</w:t>
      </w:r>
      <w:r>
        <w:t xml:space="preserve">aseline (left) and best (right) models for Dataset B in Paso Severino watershed. </w:t>
      </w:r>
      <w:r w:rsidR="00D8749E">
        <w:t xml:space="preserve">The </w:t>
      </w:r>
      <w:proofErr w:type="spellStart"/>
      <w:r w:rsidR="00D8749E">
        <w:t>colors</w:t>
      </w:r>
      <w:proofErr w:type="spellEnd"/>
      <w:r w:rsidR="00D8749E">
        <w:t xml:space="preserve"> </w:t>
      </w:r>
      <w:r>
        <w:t>in the right image correspond to the classes assigned to each observation.</w:t>
      </w:r>
    </w:p>
    <w:p w14:paraId="5754F6E4" w14:textId="77777777" w:rsidR="00782835" w:rsidRDefault="00E212F2" w:rsidP="00782835">
      <w:pPr>
        <w:pStyle w:val="IAHRtext"/>
        <w:keepNext/>
        <w:jc w:val="center"/>
      </w:pPr>
      <w:r>
        <w:rPr>
          <w:noProof/>
          <w:lang w:val="en-GB" w:eastAsia="en-GB"/>
        </w:rPr>
        <w:lastRenderedPageBreak/>
        <w:drawing>
          <wp:inline distT="0" distB="0" distL="0" distR="0" wp14:anchorId="47E3CE54" wp14:editId="00BD01F1">
            <wp:extent cx="5495544" cy="2743200"/>
            <wp:effectExtent l="0" t="0" r="0" b="0"/>
            <wp:docPr id="2040151240" name="Imagen 1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51240" name="Imagen 11" descr="Gráfico, Gráfico de dispersión&#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5544" cy="2743200"/>
                    </a:xfrm>
                    <a:prstGeom prst="rect">
                      <a:avLst/>
                    </a:prstGeom>
                  </pic:spPr>
                </pic:pic>
              </a:graphicData>
            </a:graphic>
          </wp:inline>
        </w:drawing>
      </w:r>
    </w:p>
    <w:p w14:paraId="07ED8E5D" w14:textId="3CAF6246" w:rsidR="009930DE" w:rsidRDefault="00782835" w:rsidP="00782835">
      <w:pPr>
        <w:pStyle w:val="IAHRfigurecaptio"/>
      </w:pPr>
      <w:r w:rsidRPr="00782835">
        <w:rPr>
          <w:b/>
          <w:bCs/>
        </w:rPr>
        <w:t xml:space="preserve">Figure </w:t>
      </w:r>
      <w:r w:rsidRPr="00782835">
        <w:rPr>
          <w:b/>
          <w:bCs/>
        </w:rPr>
        <w:fldChar w:fldCharType="begin"/>
      </w:r>
      <w:r w:rsidRPr="00782835">
        <w:rPr>
          <w:b/>
          <w:bCs/>
        </w:rPr>
        <w:instrText xml:space="preserve"> SEQ Figure \* ARABIC </w:instrText>
      </w:r>
      <w:r w:rsidRPr="00782835">
        <w:rPr>
          <w:b/>
          <w:bCs/>
        </w:rPr>
        <w:fldChar w:fldCharType="separate"/>
      </w:r>
      <w:r>
        <w:rPr>
          <w:b/>
          <w:bCs/>
          <w:noProof/>
        </w:rPr>
        <w:t>5</w:t>
      </w:r>
      <w:r w:rsidRPr="00782835">
        <w:rPr>
          <w:b/>
          <w:bCs/>
        </w:rPr>
        <w:fldChar w:fldCharType="end"/>
      </w:r>
      <w:r w:rsidRPr="00782835">
        <w:t xml:space="preserve">. Comparative results of baseline (left) and best (right) models for Dataset A </w:t>
      </w:r>
      <w:r>
        <w:t>in</w:t>
      </w:r>
      <w:r w:rsidRPr="00782835">
        <w:t xml:space="preserve"> F</w:t>
      </w:r>
      <w:r>
        <w:t>lorida</w:t>
      </w:r>
      <w:r w:rsidRPr="00782835">
        <w:t xml:space="preserve"> watershed. </w:t>
      </w:r>
      <w:r w:rsidR="00D8749E">
        <w:t xml:space="preserve">The </w:t>
      </w:r>
      <w:proofErr w:type="spellStart"/>
      <w:r w:rsidR="00D8749E">
        <w:t>c</w:t>
      </w:r>
      <w:r w:rsidR="00D8749E" w:rsidRPr="00782835">
        <w:t>olors</w:t>
      </w:r>
      <w:proofErr w:type="spellEnd"/>
      <w:r w:rsidR="00D8749E" w:rsidRPr="00782835">
        <w:t xml:space="preserve"> </w:t>
      </w:r>
      <w:r w:rsidRPr="00782835">
        <w:t>in the right image correspond to the classes assigned to each observation.</w:t>
      </w:r>
    </w:p>
    <w:p w14:paraId="515809D9" w14:textId="77777777" w:rsidR="00782835" w:rsidRPr="00782835" w:rsidRDefault="00782835" w:rsidP="00782835">
      <w:pPr>
        <w:pStyle w:val="IAHRfigurecaptio"/>
      </w:pPr>
    </w:p>
    <w:p w14:paraId="02313D3F" w14:textId="77777777" w:rsidR="00782835" w:rsidRDefault="00E212F2" w:rsidP="00782835">
      <w:pPr>
        <w:pStyle w:val="IAHRtext"/>
        <w:keepNext/>
        <w:jc w:val="center"/>
      </w:pPr>
      <w:r>
        <w:rPr>
          <w:noProof/>
          <w:lang w:val="en-GB" w:eastAsia="en-GB"/>
        </w:rPr>
        <w:drawing>
          <wp:inline distT="0" distB="0" distL="0" distR="0" wp14:anchorId="72B718B7" wp14:editId="57EED70D">
            <wp:extent cx="5486400" cy="2724912"/>
            <wp:effectExtent l="0" t="0" r="0" b="0"/>
            <wp:docPr id="1467427491" name="Imagen 1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27491" name="Imagen 12" descr="Gráfico, Gráfico de dispers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724912"/>
                    </a:xfrm>
                    <a:prstGeom prst="rect">
                      <a:avLst/>
                    </a:prstGeom>
                  </pic:spPr>
                </pic:pic>
              </a:graphicData>
            </a:graphic>
          </wp:inline>
        </w:drawing>
      </w:r>
    </w:p>
    <w:p w14:paraId="52B5E4B9" w14:textId="20C24220" w:rsidR="00B11374" w:rsidRDefault="00782835" w:rsidP="00F50C89">
      <w:pPr>
        <w:pStyle w:val="IAHRfigurecaptio"/>
      </w:pPr>
      <w:r w:rsidRPr="00782835">
        <w:rPr>
          <w:b/>
          <w:bCs/>
        </w:rPr>
        <w:t xml:space="preserve">Figure </w:t>
      </w:r>
      <w:r w:rsidRPr="00782835">
        <w:rPr>
          <w:b/>
          <w:bCs/>
        </w:rPr>
        <w:fldChar w:fldCharType="begin"/>
      </w:r>
      <w:r w:rsidRPr="00782835">
        <w:rPr>
          <w:b/>
          <w:bCs/>
        </w:rPr>
        <w:instrText xml:space="preserve"> SEQ Figure \* ARABIC </w:instrText>
      </w:r>
      <w:r w:rsidRPr="00782835">
        <w:rPr>
          <w:b/>
          <w:bCs/>
        </w:rPr>
        <w:fldChar w:fldCharType="separate"/>
      </w:r>
      <w:r w:rsidRPr="00782835">
        <w:rPr>
          <w:b/>
          <w:bCs/>
          <w:noProof/>
        </w:rPr>
        <w:t>6</w:t>
      </w:r>
      <w:r w:rsidRPr="00782835">
        <w:rPr>
          <w:b/>
          <w:bCs/>
        </w:rPr>
        <w:fldChar w:fldCharType="end"/>
      </w:r>
      <w:r w:rsidRPr="00782835">
        <w:rPr>
          <w:b/>
          <w:bCs/>
        </w:rPr>
        <w:t>.</w:t>
      </w:r>
      <w:r w:rsidRPr="00782835">
        <w:t xml:space="preserve"> Comparative results of baseline (left) and best (right) models for Dataset B in Florida watershed. </w:t>
      </w:r>
      <w:r w:rsidR="00D8749E">
        <w:t xml:space="preserve">The </w:t>
      </w:r>
      <w:proofErr w:type="spellStart"/>
      <w:r w:rsidR="00D8749E">
        <w:t>c</w:t>
      </w:r>
      <w:r w:rsidR="00D8749E" w:rsidRPr="00782835">
        <w:t>olors</w:t>
      </w:r>
      <w:proofErr w:type="spellEnd"/>
      <w:r w:rsidR="00D8749E" w:rsidRPr="00782835">
        <w:t xml:space="preserve"> </w:t>
      </w:r>
      <w:r w:rsidRPr="00782835">
        <w:t>in the right image correspond to the classes assigned to each observation.</w:t>
      </w:r>
    </w:p>
    <w:p w14:paraId="18ED944D" w14:textId="7EB13AE3" w:rsidR="00483EC5" w:rsidRDefault="00F50C89" w:rsidP="00454B1B">
      <w:pPr>
        <w:pStyle w:val="IAHRtext"/>
      </w:pPr>
      <w:r>
        <w:rPr>
          <w:lang w:val="en-GB"/>
        </w:rPr>
        <w:t>Both statistical and graphical results</w:t>
      </w:r>
      <w:r w:rsidR="001455B5">
        <w:t xml:space="preserve"> show an improvement in </w:t>
      </w:r>
      <w:r w:rsidR="00D8749E">
        <w:t>estimating</w:t>
      </w:r>
      <w:r w:rsidR="001455B5">
        <w:t xml:space="preserve"> </w:t>
      </w:r>
      <w:r w:rsidR="00A05C51">
        <w:t>high flows</w:t>
      </w:r>
      <w:r w:rsidR="001455B5">
        <w:t xml:space="preserve"> after applying the proposed data augmentation methodology. This is indicated by the increase in NSE and </w:t>
      </w:r>
      <w:proofErr w:type="spellStart"/>
      <w:r w:rsidR="001455B5">
        <w:t>pkNSE</w:t>
      </w:r>
      <w:proofErr w:type="spellEnd"/>
      <w:r w:rsidR="001455B5">
        <w:t xml:space="preserve"> </w:t>
      </w:r>
      <w:r w:rsidR="00A05C51">
        <w:t>indicators</w:t>
      </w:r>
      <w:r w:rsidR="001455B5">
        <w:t xml:space="preserve">. It should also be noted that performance decreases for low flows, as evidenced by the comparison of </w:t>
      </w:r>
      <w:proofErr w:type="spellStart"/>
      <w:r w:rsidR="001455B5">
        <w:t>logNSE</w:t>
      </w:r>
      <w:proofErr w:type="spellEnd"/>
      <w:r w:rsidR="001455B5">
        <w:t xml:space="preserve"> indicators.</w:t>
      </w:r>
      <w:r w:rsidR="0094699B">
        <w:t xml:space="preserve"> Both observations can also be appreciated in the scatterplot comparison.</w:t>
      </w:r>
      <w:r w:rsidR="001455B5">
        <w:t xml:space="preserve"> In most cases, the best results are obtained for the SMOTE algorithm, with the k-means algorithm set for k = 4 clusters.</w:t>
      </w:r>
    </w:p>
    <w:p w14:paraId="2415A6A8" w14:textId="39983344" w:rsidR="00B31FB2" w:rsidRDefault="00B31FB2" w:rsidP="00BA6B56">
      <w:pPr>
        <w:pStyle w:val="IAHRheading1"/>
      </w:pPr>
      <w:r>
        <w:t>Discussion</w:t>
      </w:r>
    </w:p>
    <w:p w14:paraId="4A57A773" w14:textId="18C92F9E" w:rsidR="00082912" w:rsidRDefault="00A47140" w:rsidP="00DF56A5">
      <w:pPr>
        <w:pStyle w:val="IAHRtext"/>
        <w:rPr>
          <w:color w:val="FF0000"/>
        </w:rPr>
      </w:pPr>
      <w:r w:rsidRPr="00A47140">
        <w:t xml:space="preserve">Table 1 </w:t>
      </w:r>
      <w:r>
        <w:t xml:space="preserve">shows a significant improvement </w:t>
      </w:r>
      <w:r w:rsidR="008C1376">
        <w:t xml:space="preserve">in </w:t>
      </w:r>
      <w:r w:rsidR="00082912">
        <w:t xml:space="preserve">model performance for high flows when applying the </w:t>
      </w:r>
      <w:r w:rsidR="000722D9">
        <w:t xml:space="preserve">data augmentation methodology to the training dataset. </w:t>
      </w:r>
      <w:r w:rsidR="001D33DC">
        <w:t xml:space="preserve">This is reflected in the NSE and </w:t>
      </w:r>
      <w:proofErr w:type="spellStart"/>
      <w:r w:rsidR="001D33DC">
        <w:t>pkNSE</w:t>
      </w:r>
      <w:proofErr w:type="spellEnd"/>
      <w:r w:rsidR="001D33DC">
        <w:t xml:space="preserve"> indicators</w:t>
      </w:r>
      <w:r w:rsidR="002B25B4">
        <w:t xml:space="preserve">, which increase for </w:t>
      </w:r>
      <w:r w:rsidR="00711CB1">
        <w:t>the four combinations of watersheds and datasets</w:t>
      </w:r>
      <w:r w:rsidR="00032E58">
        <w:t xml:space="preserve">. While NSE </w:t>
      </w:r>
      <w:r w:rsidR="008C1376">
        <w:t xml:space="preserve">is </w:t>
      </w:r>
      <w:r w:rsidR="00032E58">
        <w:t xml:space="preserve">typically used as an indicator of overall </w:t>
      </w:r>
      <w:r w:rsidR="00917E50">
        <w:t xml:space="preserve">performance for hydrological models, it has been </w:t>
      </w:r>
      <w:r w:rsidR="002C20C2">
        <w:t>shown</w:t>
      </w:r>
      <w:r w:rsidR="00917E50">
        <w:t xml:space="preserve"> to be considerably affected by high flows</w:t>
      </w:r>
      <w:r w:rsidR="00064360">
        <w:t xml:space="preserve"> (</w:t>
      </w:r>
      <w:r w:rsidR="000B3C37">
        <w:t>Clark et al., 2021</w:t>
      </w:r>
      <w:r w:rsidR="00064360">
        <w:t>)</w:t>
      </w:r>
      <w:r w:rsidR="00917E50">
        <w:t xml:space="preserve">, so it </w:t>
      </w:r>
      <w:r w:rsidR="00064360">
        <w:t>is also a valid indicator of increased performance for such range. NSE increases</w:t>
      </w:r>
      <w:r w:rsidR="002B25B4">
        <w:t xml:space="preserve"> </w:t>
      </w:r>
      <w:r w:rsidR="00765EC2">
        <w:t xml:space="preserve">between 3% and 35% (mean 18%), while </w:t>
      </w:r>
      <w:proofErr w:type="spellStart"/>
      <w:r w:rsidR="00765EC2">
        <w:t>pkNSE</w:t>
      </w:r>
      <w:proofErr w:type="spellEnd"/>
      <w:r w:rsidR="00765EC2">
        <w:t xml:space="preserve"> does it </w:t>
      </w:r>
      <w:r w:rsidR="008C1376">
        <w:t>from</w:t>
      </w:r>
      <w:r w:rsidR="00BE1FD9">
        <w:t xml:space="preserve"> 14% to 86% (mean 37%). </w:t>
      </w:r>
      <w:r w:rsidR="00BE72E2">
        <w:t>On the other hand</w:t>
      </w:r>
      <w:r w:rsidR="007C7800">
        <w:t>,</w:t>
      </w:r>
      <w:r w:rsidR="00BE72E2">
        <w:t xml:space="preserve"> </w:t>
      </w:r>
      <w:proofErr w:type="spellStart"/>
      <w:r w:rsidR="00BE72E2">
        <w:t>logNSE</w:t>
      </w:r>
      <w:proofErr w:type="spellEnd"/>
      <w:r w:rsidR="00BE72E2">
        <w:t>, which is a well-known indicator of performance for low discharge values</w:t>
      </w:r>
      <w:r w:rsidR="00837E26">
        <w:t xml:space="preserve">, decreases in 3 out of the 4 cases, </w:t>
      </w:r>
      <w:r w:rsidR="001535E6">
        <w:t>with percentages between -13% and -28%</w:t>
      </w:r>
      <w:r w:rsidR="006014C3">
        <w:t xml:space="preserve"> (mean -14%)</w:t>
      </w:r>
      <w:r w:rsidR="001535E6">
        <w:t xml:space="preserve">, </w:t>
      </w:r>
      <w:r w:rsidR="008B027B">
        <w:t>and presents no significant change in the remaining one.</w:t>
      </w:r>
    </w:p>
    <w:p w14:paraId="65F6CD31" w14:textId="62D97707" w:rsidR="00DF56A5" w:rsidRPr="00D304EF" w:rsidRDefault="005B0B3D" w:rsidP="00DF56A5">
      <w:pPr>
        <w:pStyle w:val="IAHRtext"/>
      </w:pPr>
      <w:r w:rsidRPr="00D304EF">
        <w:lastRenderedPageBreak/>
        <w:t>The scatterplot comparison</w:t>
      </w:r>
      <w:r w:rsidR="00114F07" w:rsidRPr="00D304EF">
        <w:t xml:space="preserve"> allows conclusions in the same direction </w:t>
      </w:r>
      <w:r w:rsidR="008C1376">
        <w:t>as</w:t>
      </w:r>
      <w:r w:rsidR="008C1376" w:rsidRPr="00D304EF">
        <w:t xml:space="preserve"> </w:t>
      </w:r>
      <w:r w:rsidR="00114F07" w:rsidRPr="00D304EF">
        <w:t xml:space="preserve">the indicators of Table 1. </w:t>
      </w:r>
      <w:r w:rsidR="0075031F" w:rsidRPr="00D304EF">
        <w:t>It can be seen in all cases that</w:t>
      </w:r>
      <w:r w:rsidR="00114F07" w:rsidRPr="00D304EF">
        <w:t xml:space="preserve"> </w:t>
      </w:r>
      <w:r w:rsidR="0094699B" w:rsidRPr="00D304EF">
        <w:t>the point cloud, in the range of high discharges, converges more closely to the 1:1 line than in</w:t>
      </w:r>
      <w:r w:rsidR="0075031F" w:rsidRPr="00D304EF">
        <w:t xml:space="preserve"> the</w:t>
      </w:r>
      <w:r w:rsidR="0094699B" w:rsidRPr="00D304EF">
        <w:t xml:space="preserve"> plots of the</w:t>
      </w:r>
      <w:r w:rsidR="0075031F" w:rsidRPr="00D304EF">
        <w:t xml:space="preserve"> right (best model) than in the ones</w:t>
      </w:r>
      <w:r w:rsidR="0094699B" w:rsidRPr="00D304EF">
        <w:t xml:space="preserve"> </w:t>
      </w:r>
      <w:r w:rsidR="0075031F" w:rsidRPr="00D304EF">
        <w:t xml:space="preserve">of the </w:t>
      </w:r>
      <w:r w:rsidR="0094699B" w:rsidRPr="00D304EF">
        <w:t>left</w:t>
      </w:r>
      <w:r w:rsidR="0075031F" w:rsidRPr="00D304EF">
        <w:t xml:space="preserve"> (baseline model). In the same way</w:t>
      </w:r>
      <w:r w:rsidR="008C1376">
        <w:t>,</w:t>
      </w:r>
      <w:r w:rsidR="0075031F" w:rsidRPr="00D304EF">
        <w:t xml:space="preserve"> </w:t>
      </w:r>
      <w:r w:rsidR="00D304EF" w:rsidRPr="00D304EF">
        <w:t>they diverge from the 1:1 line when looking at the low-flow range.</w:t>
      </w:r>
    </w:p>
    <w:p w14:paraId="014011E1" w14:textId="5FF725DD" w:rsidR="00B31FB2" w:rsidRDefault="00B31FB2" w:rsidP="00BA6B56">
      <w:pPr>
        <w:pStyle w:val="IAHRheading1"/>
      </w:pPr>
      <w:r>
        <w:t>Conclusions</w:t>
      </w:r>
    </w:p>
    <w:p w14:paraId="567F02C7" w14:textId="5E987B15" w:rsidR="003307B6" w:rsidRDefault="001424C2" w:rsidP="003307B6">
      <w:pPr>
        <w:pStyle w:val="IAHRtext"/>
      </w:pPr>
      <w:r w:rsidRPr="001424C2">
        <w:t xml:space="preserve">Results allow to conclude that the posed hypothesis is </w:t>
      </w:r>
      <w:r w:rsidR="009B203C" w:rsidRPr="001424C2">
        <w:t>accurate,</w:t>
      </w:r>
      <w:r w:rsidRPr="001424C2">
        <w:t xml:space="preserve"> and that class imbalance is a relevant issue for data-driven rainfall-runoff modeling. The proposed method </w:t>
      </w:r>
      <w:r w:rsidR="008C1376">
        <w:t>improves</w:t>
      </w:r>
      <w:r w:rsidRPr="001424C2">
        <w:t xml:space="preserve"> the representation of high flows based on known data augmentation techniques while slightly lowering the performance for low flows, which </w:t>
      </w:r>
      <w:r w:rsidR="008C1376">
        <w:t>balances</w:t>
      </w:r>
      <w:r w:rsidRPr="001424C2">
        <w:t xml:space="preserve"> the learning process. On average, performance increased by 1</w:t>
      </w:r>
      <w:r w:rsidR="006014C3">
        <w:t>8</w:t>
      </w:r>
      <w:r w:rsidRPr="001424C2">
        <w:t>% for NSE and 3</w:t>
      </w:r>
      <w:r w:rsidR="006014C3">
        <w:t>7</w:t>
      </w:r>
      <w:r w:rsidRPr="001424C2">
        <w:t xml:space="preserve">% for </w:t>
      </w:r>
      <w:proofErr w:type="spellStart"/>
      <w:r w:rsidRPr="001424C2">
        <w:t>pkNSE</w:t>
      </w:r>
      <w:proofErr w:type="spellEnd"/>
      <w:r w:rsidRPr="001424C2">
        <w:t xml:space="preserve"> and decreased by 14% for </w:t>
      </w:r>
      <w:proofErr w:type="spellStart"/>
      <w:r w:rsidRPr="001424C2">
        <w:t>logNSE</w:t>
      </w:r>
      <w:proofErr w:type="spellEnd"/>
      <w:r w:rsidRPr="001424C2">
        <w:t>.</w:t>
      </w:r>
    </w:p>
    <w:p w14:paraId="3AA3A342" w14:textId="2D85592C" w:rsidR="00B31FB2" w:rsidRDefault="0080200E" w:rsidP="0080200E">
      <w:pPr>
        <w:pStyle w:val="IAHRackntitle"/>
      </w:pPr>
      <w:r>
        <w:t>Acknowledgments</w:t>
      </w:r>
    </w:p>
    <w:p w14:paraId="7A539477" w14:textId="441E0DAB" w:rsidR="00462832" w:rsidRDefault="00462832" w:rsidP="00462832">
      <w:pPr>
        <w:pStyle w:val="IAHRackntext"/>
      </w:pPr>
      <w:r w:rsidRPr="00462832">
        <w:t xml:space="preserve">This work was made possible thanks to </w:t>
      </w:r>
      <w:r w:rsidR="00507475" w:rsidRPr="00462832">
        <w:t>a Ph.D. scholarship granted to F.V. by the Academic Postgraduate Commission (CAP), Universidad de la República, Uruguay.</w:t>
      </w:r>
    </w:p>
    <w:p w14:paraId="414A79E8" w14:textId="10D12CE3" w:rsidR="0080200E" w:rsidRDefault="0080200E" w:rsidP="00A57BAC">
      <w:pPr>
        <w:pStyle w:val="IAHRreferencestitle"/>
      </w:pPr>
      <w:r>
        <w:t>References</w:t>
      </w:r>
    </w:p>
    <w:p w14:paraId="3959CA96" w14:textId="3F4274C9" w:rsidR="00D46024" w:rsidRPr="00507475" w:rsidRDefault="00D46024" w:rsidP="00A57BAC">
      <w:pPr>
        <w:pStyle w:val="IAHRreferences"/>
      </w:pPr>
      <w:r w:rsidRPr="00507475">
        <w:t xml:space="preserve">Akiba T, Sano S, Yanase T, Ohta T, Koyama M (2019) </w:t>
      </w:r>
      <w:proofErr w:type="spellStart"/>
      <w:r w:rsidRPr="00507475">
        <w:t>Optuna</w:t>
      </w:r>
      <w:proofErr w:type="spellEnd"/>
      <w:r w:rsidRPr="00507475">
        <w:t xml:space="preserve">: a </w:t>
      </w:r>
      <w:proofErr w:type="gramStart"/>
      <w:r w:rsidRPr="00507475">
        <w:t>next-generation</w:t>
      </w:r>
      <w:proofErr w:type="gramEnd"/>
      <w:r w:rsidRPr="00507475">
        <w:t xml:space="preserve"> hyperparameter optimization framework, KDD’ 19: Proceedings of the 25th ACM SIGKDD International Conference on Knowledge Discovery &amp; Data Mining, 2623-2631</w:t>
      </w:r>
    </w:p>
    <w:p w14:paraId="44BDA626" w14:textId="77777777" w:rsidR="00D46024" w:rsidRPr="00507475" w:rsidRDefault="00D46024" w:rsidP="00A57BAC">
      <w:pPr>
        <w:pStyle w:val="IAHRreferences"/>
      </w:pPr>
    </w:p>
    <w:p w14:paraId="3A9BC87C" w14:textId="73872399" w:rsidR="00D46024" w:rsidRDefault="00D46024" w:rsidP="00A57BAC">
      <w:pPr>
        <w:pStyle w:val="IAHRreferences"/>
      </w:pPr>
      <w:r w:rsidRPr="00507475">
        <w:t>Barbosa G, da Silva DD, Fernandes EI, Moreira MC, Vieira G, de Souza M, Rocha SA (2021) Effect of environmental covariable selection in the hydrological modeling using machine learning models to predict daily streamflow, Journal of Environmental Management, 290, 112625</w:t>
      </w:r>
    </w:p>
    <w:p w14:paraId="012502B7" w14:textId="77777777" w:rsidR="00E403AC" w:rsidRDefault="00E403AC" w:rsidP="00A57BAC">
      <w:pPr>
        <w:pStyle w:val="IAHRreferences"/>
      </w:pPr>
    </w:p>
    <w:p w14:paraId="05671E3C" w14:textId="20F45F4B" w:rsidR="00D46024" w:rsidRDefault="00752D2C" w:rsidP="00A57BAC">
      <w:pPr>
        <w:pStyle w:val="IAHRreferences"/>
      </w:pPr>
      <w:r w:rsidRPr="00AD685B">
        <w:t xml:space="preserve">Bi </w:t>
      </w:r>
      <w:r w:rsidR="00AD685B" w:rsidRPr="00AD685B">
        <w:t>X</w:t>
      </w:r>
      <w:r w:rsidRPr="00AD685B">
        <w:t xml:space="preserve">Y, Li B, Lu WL, Zhou XZ (2020) </w:t>
      </w:r>
      <w:r w:rsidRPr="00752D2C">
        <w:t>Daily runoff forecasting based on data-augmented neural network model</w:t>
      </w:r>
      <w:r>
        <w:t>,</w:t>
      </w:r>
      <w:r w:rsidRPr="00752D2C">
        <w:t xml:space="preserve"> Journal of </w:t>
      </w:r>
      <w:proofErr w:type="spellStart"/>
      <w:r w:rsidRPr="00752D2C">
        <w:t>Hydroinformatics</w:t>
      </w:r>
      <w:proofErr w:type="spellEnd"/>
      <w:r w:rsidRPr="00752D2C">
        <w:t>, 22(4), 900-915</w:t>
      </w:r>
    </w:p>
    <w:p w14:paraId="78FB40FF" w14:textId="77777777" w:rsidR="00AA018A" w:rsidRDefault="00AA018A" w:rsidP="00A57BAC">
      <w:pPr>
        <w:pStyle w:val="IAHRreferences"/>
      </w:pPr>
    </w:p>
    <w:p w14:paraId="5087DC57" w14:textId="59F890A5" w:rsidR="00AA018A" w:rsidRDefault="00AA018A" w:rsidP="00A57BAC">
      <w:pPr>
        <w:pStyle w:val="IAHRreferences"/>
      </w:pPr>
      <w:r w:rsidRPr="00AA018A">
        <w:t xml:space="preserve">Bilali AE, Taleb A, </w:t>
      </w:r>
      <w:proofErr w:type="spellStart"/>
      <w:r w:rsidRPr="00AA018A">
        <w:t>Bahlaoui</w:t>
      </w:r>
      <w:proofErr w:type="spellEnd"/>
      <w:r w:rsidRPr="00AA018A">
        <w:t xml:space="preserve"> MA, </w:t>
      </w:r>
      <w:proofErr w:type="spellStart"/>
      <w:r w:rsidRPr="00AA018A">
        <w:t>Brouziyne</w:t>
      </w:r>
      <w:proofErr w:type="spellEnd"/>
      <w:r w:rsidRPr="00AA018A">
        <w:t xml:space="preserve"> Y (2021) An integrated approach based on Gaussian noises-based data augmentation method and AdaBoost model to predict </w:t>
      </w:r>
      <w:proofErr w:type="spellStart"/>
      <w:r w:rsidRPr="00AA018A">
        <w:t>faecal</w:t>
      </w:r>
      <w:proofErr w:type="spellEnd"/>
      <w:r w:rsidRPr="00AA018A">
        <w:t xml:space="preserve"> coliforms in rivers with small dataset</w:t>
      </w:r>
      <w:r>
        <w:t>,</w:t>
      </w:r>
      <w:r w:rsidRPr="00AA018A">
        <w:t xml:space="preserve"> Journal of Hydrology, 599, 126510</w:t>
      </w:r>
    </w:p>
    <w:p w14:paraId="46523196" w14:textId="77777777" w:rsidR="00564934" w:rsidRDefault="00564934" w:rsidP="00A57BAC">
      <w:pPr>
        <w:pStyle w:val="IAHRreferences"/>
      </w:pPr>
    </w:p>
    <w:p w14:paraId="2BEB2B39" w14:textId="1B47B7CD" w:rsidR="00564934" w:rsidRDefault="00564934" w:rsidP="00A57BAC">
      <w:pPr>
        <w:pStyle w:val="IAHRreferences"/>
      </w:pPr>
      <w:proofErr w:type="spellStart"/>
      <w:r w:rsidRPr="00564934">
        <w:t>Breiman</w:t>
      </w:r>
      <w:proofErr w:type="spellEnd"/>
      <w:r>
        <w:t xml:space="preserve"> </w:t>
      </w:r>
      <w:r w:rsidRPr="00564934">
        <w:t>L (2001) Random forests</w:t>
      </w:r>
      <w:r>
        <w:t>,</w:t>
      </w:r>
      <w:r w:rsidRPr="00564934">
        <w:t xml:space="preserve"> Machine learning, 45, 5-32.</w:t>
      </w:r>
    </w:p>
    <w:p w14:paraId="7D51D50D" w14:textId="77777777" w:rsidR="00752D2C" w:rsidRPr="00145ACF" w:rsidRDefault="00752D2C" w:rsidP="00A57BAC">
      <w:pPr>
        <w:pStyle w:val="IAHRreferences"/>
      </w:pPr>
    </w:p>
    <w:p w14:paraId="5FFF8776" w14:textId="2FD1DFF6" w:rsidR="00D46024" w:rsidRPr="00507475" w:rsidRDefault="00D46024" w:rsidP="00A57BAC">
      <w:pPr>
        <w:pStyle w:val="IAHRreferences"/>
      </w:pPr>
      <w:r w:rsidRPr="00507475">
        <w:t xml:space="preserve">Chawla NV, Bowyer KW, Hall LO, </w:t>
      </w:r>
      <w:proofErr w:type="spellStart"/>
      <w:r w:rsidRPr="00507475">
        <w:t>Kegelmeyer</w:t>
      </w:r>
      <w:proofErr w:type="spellEnd"/>
      <w:r w:rsidRPr="00507475">
        <w:t xml:space="preserve"> WP (2002) SMOTE: Synthetic Minority Over-sampling Technique, Journal of Artificial Intelligence Research, 16, 321-357</w:t>
      </w:r>
    </w:p>
    <w:p w14:paraId="68FCA563" w14:textId="77777777" w:rsidR="00D46024" w:rsidRPr="00507475" w:rsidRDefault="00D46024" w:rsidP="00A57BAC">
      <w:pPr>
        <w:pStyle w:val="IAHRreferences"/>
      </w:pPr>
    </w:p>
    <w:p w14:paraId="3F61B9E8" w14:textId="2189A7ED" w:rsidR="00D46024" w:rsidRDefault="00D46024" w:rsidP="00A57BAC">
      <w:pPr>
        <w:pStyle w:val="IAHRreferences"/>
      </w:pPr>
      <w:r w:rsidRPr="00507475">
        <w:t xml:space="preserve">Chen Z, Lin H, Shen G (2023) </w:t>
      </w:r>
      <w:proofErr w:type="spellStart"/>
      <w:r w:rsidRPr="00507475">
        <w:t>TreeLSTM</w:t>
      </w:r>
      <w:proofErr w:type="spellEnd"/>
      <w:r w:rsidRPr="00507475">
        <w:t>: A spatiotemporal machine learning model for rainfall-runoff estimation, Journal of Hydrology: Regional Studies, 48, 101474</w:t>
      </w:r>
    </w:p>
    <w:p w14:paraId="620D1B25" w14:textId="77777777" w:rsidR="001416B8" w:rsidRDefault="001416B8" w:rsidP="00A57BAC">
      <w:pPr>
        <w:pStyle w:val="IAHRreferences"/>
      </w:pPr>
    </w:p>
    <w:p w14:paraId="7EAF09C4" w14:textId="536AA347" w:rsidR="001416B8" w:rsidRPr="00EA045E" w:rsidRDefault="001416B8" w:rsidP="00A57BAC">
      <w:pPr>
        <w:pStyle w:val="IAHRreferences"/>
      </w:pPr>
      <w:r w:rsidRPr="001416B8">
        <w:t xml:space="preserve">Clark MP, Vogel RM, Lamontagne JR, Mizukami N, </w:t>
      </w:r>
      <w:proofErr w:type="spellStart"/>
      <w:r w:rsidRPr="001416B8">
        <w:t>Knoben</w:t>
      </w:r>
      <w:proofErr w:type="spellEnd"/>
      <w:r w:rsidRPr="001416B8">
        <w:t xml:space="preserve"> WJ, Tang G, </w:t>
      </w:r>
      <w:proofErr w:type="spellStart"/>
      <w:r w:rsidR="00266D2E">
        <w:t>Gharari</w:t>
      </w:r>
      <w:proofErr w:type="spellEnd"/>
      <w:r w:rsidR="00266D2E">
        <w:t xml:space="preserve"> S, </w:t>
      </w:r>
      <w:r w:rsidR="00E5349A">
        <w:t xml:space="preserve">Freer JE, Whitfield PH, Shook KR, </w:t>
      </w:r>
      <w:proofErr w:type="spellStart"/>
      <w:r w:rsidRPr="001416B8">
        <w:t>Papalexiou</w:t>
      </w:r>
      <w:proofErr w:type="spellEnd"/>
      <w:r w:rsidRPr="001416B8">
        <w:t xml:space="preserve"> SM (2021) The abuse of popular performance metrics in hydrologic modeling</w:t>
      </w:r>
      <w:r w:rsidR="00266D2E">
        <w:t>,</w:t>
      </w:r>
      <w:r w:rsidRPr="001416B8">
        <w:t xml:space="preserve"> Water Resources Research, 57(9), </w:t>
      </w:r>
      <w:proofErr w:type="gramStart"/>
      <w:r w:rsidRPr="001416B8">
        <w:t>e2020WR029001</w:t>
      </w:r>
      <w:proofErr w:type="gramEnd"/>
    </w:p>
    <w:p w14:paraId="7600D57D" w14:textId="77777777" w:rsidR="00804C95" w:rsidRPr="00507475" w:rsidRDefault="00804C95" w:rsidP="00A57BAC">
      <w:pPr>
        <w:pStyle w:val="IAHRreferences"/>
      </w:pPr>
    </w:p>
    <w:p w14:paraId="3CDC6F02" w14:textId="63E4B08F" w:rsidR="00804C95" w:rsidRPr="00507475" w:rsidRDefault="00804C95" w:rsidP="00A57BAC">
      <w:pPr>
        <w:pStyle w:val="IAHRreferences"/>
      </w:pPr>
      <w:r w:rsidRPr="00507475">
        <w:t>Forgy</w:t>
      </w:r>
      <w:r w:rsidR="00AD685B">
        <w:t xml:space="preserve"> </w:t>
      </w:r>
      <w:r w:rsidRPr="00507475">
        <w:t>EW</w:t>
      </w:r>
      <w:r w:rsidR="00D2495E">
        <w:t xml:space="preserve"> </w:t>
      </w:r>
      <w:r w:rsidRPr="00507475">
        <w:t>(1965)</w:t>
      </w:r>
      <w:r w:rsidR="00D2495E">
        <w:t xml:space="preserve"> </w:t>
      </w:r>
      <w:r w:rsidRPr="00507475">
        <w:t>Cluster analysis of multivariate data: efficiency versus interpretability of</w:t>
      </w:r>
      <w:r w:rsidR="003A09F6">
        <w:t xml:space="preserve"> </w:t>
      </w:r>
      <w:r w:rsidRPr="00507475">
        <w:t>classifications</w:t>
      </w:r>
      <w:r w:rsidR="00AD685B">
        <w:t>,</w:t>
      </w:r>
      <w:r w:rsidRPr="00507475">
        <w:t> </w:t>
      </w:r>
      <w:r w:rsidR="00A57BAC">
        <w:t>B</w:t>
      </w:r>
      <w:r w:rsidRPr="000B3C37">
        <w:t>iometrics</w:t>
      </w:r>
      <w:r w:rsidRPr="00507475">
        <w:t>, </w:t>
      </w:r>
      <w:r w:rsidRPr="000B3C37">
        <w:t>21</w:t>
      </w:r>
      <w:r w:rsidRPr="00507475">
        <w:t>, 768-769</w:t>
      </w:r>
    </w:p>
    <w:p w14:paraId="2325C530" w14:textId="77777777" w:rsidR="00D46024" w:rsidRPr="00507475" w:rsidRDefault="00D46024" w:rsidP="00A57BAC">
      <w:pPr>
        <w:pStyle w:val="IAHRreferences"/>
      </w:pPr>
    </w:p>
    <w:p w14:paraId="7B0A75FC" w14:textId="57565AB4" w:rsidR="00D46024" w:rsidRPr="00507475" w:rsidRDefault="00D46024" w:rsidP="00A57BAC">
      <w:pPr>
        <w:pStyle w:val="IAHRreferences"/>
      </w:pPr>
      <w:r w:rsidRPr="00507475">
        <w:t>Han H, Wang W, Mao B (2005) Borderline-SMOTE: A new over-sampling method in imbalanced data sets learning, ICIC 2005: Proceedings of the International Conference on Intelligent Computing, 878-887</w:t>
      </w:r>
    </w:p>
    <w:p w14:paraId="5B5D438D" w14:textId="77777777" w:rsidR="00D46024" w:rsidRPr="00507475" w:rsidRDefault="00D46024" w:rsidP="00A57BAC">
      <w:pPr>
        <w:pStyle w:val="IAHRreferences"/>
      </w:pPr>
    </w:p>
    <w:p w14:paraId="23F54D91" w14:textId="26E295CA" w:rsidR="00D46024" w:rsidRDefault="00D46024" w:rsidP="00A57BAC">
      <w:pPr>
        <w:pStyle w:val="IAHRreferences"/>
      </w:pPr>
      <w:r w:rsidRPr="00507475">
        <w:t>He H, Bai Y, Garcia BE, Li S (2008) ADASYN: Adaptive Synthetic Sampling Approach for Imbalanced Learning, Proceedings of the International Joint Conference on Neural Networks (IJCNN 2008), 1322-1328</w:t>
      </w:r>
    </w:p>
    <w:p w14:paraId="2FF69F70" w14:textId="77777777" w:rsidR="00350B82" w:rsidRDefault="00350B82" w:rsidP="00A57BAC">
      <w:pPr>
        <w:pStyle w:val="IAHRreferences"/>
      </w:pPr>
    </w:p>
    <w:p w14:paraId="348A0529" w14:textId="5D993D86" w:rsidR="00350B82" w:rsidRPr="00EA045E" w:rsidRDefault="00350B82" w:rsidP="00A57BAC">
      <w:pPr>
        <w:pStyle w:val="IAHRreferences"/>
      </w:pPr>
      <w:proofErr w:type="spellStart"/>
      <w:r w:rsidRPr="00350B82">
        <w:rPr>
          <w:lang w:val="pt-BR"/>
        </w:rPr>
        <w:t>Lema</w:t>
      </w:r>
      <w:r w:rsidR="00C74C4C">
        <w:rPr>
          <w:lang w:val="pt-BR"/>
        </w:rPr>
        <w:t>itre</w:t>
      </w:r>
      <w:proofErr w:type="spellEnd"/>
      <w:r w:rsidRPr="00350B82">
        <w:rPr>
          <w:lang w:val="pt-BR"/>
        </w:rPr>
        <w:t xml:space="preserve"> G, Nogueira F, </w:t>
      </w:r>
      <w:proofErr w:type="spellStart"/>
      <w:r w:rsidRPr="00350B82">
        <w:rPr>
          <w:lang w:val="pt-BR"/>
        </w:rPr>
        <w:t>Aridas</w:t>
      </w:r>
      <w:proofErr w:type="spellEnd"/>
      <w:r w:rsidRPr="00350B82">
        <w:rPr>
          <w:lang w:val="pt-BR"/>
        </w:rPr>
        <w:t xml:space="preserve"> CK (2017). </w:t>
      </w:r>
      <w:r w:rsidRPr="00350B82">
        <w:t>Imbalanced-learn: A python toolbox to tackle the curse of imbalanced datasets in machine learning</w:t>
      </w:r>
      <w:r w:rsidR="004B64F2">
        <w:t>,</w:t>
      </w:r>
      <w:r w:rsidRPr="00350B82">
        <w:t xml:space="preserve"> Journal of </w:t>
      </w:r>
      <w:r w:rsidR="004B64F2">
        <w:t>M</w:t>
      </w:r>
      <w:r w:rsidRPr="00350B82">
        <w:t xml:space="preserve">achine </w:t>
      </w:r>
      <w:r w:rsidR="004B64F2">
        <w:t>L</w:t>
      </w:r>
      <w:r w:rsidRPr="00350B82">
        <w:t xml:space="preserve">earning </w:t>
      </w:r>
      <w:r w:rsidR="004B64F2">
        <w:t>R</w:t>
      </w:r>
      <w:r w:rsidRPr="00350B82">
        <w:t>esearch, 18(17), 1-5</w:t>
      </w:r>
    </w:p>
    <w:p w14:paraId="4CDC1E6A" w14:textId="77777777" w:rsidR="00D92797" w:rsidRPr="00507475" w:rsidRDefault="00D92797" w:rsidP="00A57BAC">
      <w:pPr>
        <w:pStyle w:val="IAHRreferences"/>
      </w:pPr>
    </w:p>
    <w:p w14:paraId="4F7F575C" w14:textId="675CFB03" w:rsidR="00D92797" w:rsidRPr="00507475" w:rsidRDefault="00D92797" w:rsidP="00A57BAC">
      <w:pPr>
        <w:pStyle w:val="IAHRreferences"/>
      </w:pPr>
      <w:r w:rsidRPr="00507475">
        <w:t>Lloyd S (1982)</w:t>
      </w:r>
      <w:r w:rsidR="003A09F6">
        <w:t xml:space="preserve"> </w:t>
      </w:r>
      <w:r w:rsidRPr="00507475">
        <w:t>Least squares quantization in PCM</w:t>
      </w:r>
      <w:r w:rsidR="003A09F6">
        <w:t>,</w:t>
      </w:r>
      <w:r w:rsidRPr="00507475">
        <w:t> </w:t>
      </w:r>
      <w:r w:rsidRPr="00747D82">
        <w:t>IEEE transactions on information theory</w:t>
      </w:r>
      <w:r w:rsidRPr="00507475">
        <w:t>, </w:t>
      </w:r>
      <w:r w:rsidRPr="00417642">
        <w:t>28</w:t>
      </w:r>
      <w:r w:rsidRPr="00507475">
        <w:t>(2), 129-137</w:t>
      </w:r>
    </w:p>
    <w:p w14:paraId="14AD893F" w14:textId="77777777" w:rsidR="00D46024" w:rsidRPr="00507475" w:rsidRDefault="00D46024" w:rsidP="00A57BAC">
      <w:pPr>
        <w:pStyle w:val="IAHRreferences"/>
      </w:pPr>
    </w:p>
    <w:p w14:paraId="6076F9FF" w14:textId="7516939B" w:rsidR="00D46024" w:rsidRDefault="00D46024" w:rsidP="00A57BAC">
      <w:pPr>
        <w:pStyle w:val="IAHRreferences"/>
      </w:pPr>
      <w:r w:rsidRPr="00507475">
        <w:t>Nguyen H, Cooper EW, Kamei K (2009) Borderline over-sampling for imbalanced data classification, Proceedings of the Fifth International Workshop on Computational Intelligence and Applications, 24-29</w:t>
      </w:r>
    </w:p>
    <w:p w14:paraId="5BB986DD" w14:textId="77777777" w:rsidR="000F0236" w:rsidRDefault="000F0236" w:rsidP="00A57BAC">
      <w:pPr>
        <w:pStyle w:val="IAHRreferences"/>
      </w:pPr>
    </w:p>
    <w:p w14:paraId="48153E4B" w14:textId="77E4C089" w:rsidR="000F0236" w:rsidRPr="00507475" w:rsidRDefault="000F0236" w:rsidP="00A57BAC">
      <w:pPr>
        <w:pStyle w:val="IAHRreferences"/>
      </w:pPr>
      <w:r w:rsidRPr="000F0236">
        <w:lastRenderedPageBreak/>
        <w:t xml:space="preserve">Pedregosa F, </w:t>
      </w:r>
      <w:proofErr w:type="spellStart"/>
      <w:r w:rsidRPr="000F0236">
        <w:t>Varoquaux</w:t>
      </w:r>
      <w:proofErr w:type="spellEnd"/>
      <w:r w:rsidRPr="000F0236">
        <w:t xml:space="preserve"> G, </w:t>
      </w:r>
      <w:proofErr w:type="spellStart"/>
      <w:r w:rsidRPr="000F0236">
        <w:t>Gramfort</w:t>
      </w:r>
      <w:proofErr w:type="spellEnd"/>
      <w:r w:rsidRPr="000F0236">
        <w:t xml:space="preserve"> A, Michel V, Thirion B, Grisel O, </w:t>
      </w:r>
      <w:r w:rsidR="00E91CD6">
        <w:t xml:space="preserve">Blondel M, </w:t>
      </w:r>
      <w:proofErr w:type="spellStart"/>
      <w:r w:rsidR="00E91CD6">
        <w:t>Prettenhofer</w:t>
      </w:r>
      <w:proofErr w:type="spellEnd"/>
      <w:r w:rsidR="000601DC">
        <w:t xml:space="preserve"> P, Weiss R, Dubourg V, Vanderplas J, Passos A, </w:t>
      </w:r>
      <w:proofErr w:type="spellStart"/>
      <w:r w:rsidR="000601DC">
        <w:t>Cournapeau</w:t>
      </w:r>
      <w:proofErr w:type="spellEnd"/>
      <w:r w:rsidR="000601DC">
        <w:t xml:space="preserve"> D</w:t>
      </w:r>
      <w:r w:rsidR="008870FF">
        <w:t>, Brucher M, Perrot M,</w:t>
      </w:r>
      <w:r w:rsidRPr="000F0236">
        <w:t xml:space="preserve"> </w:t>
      </w:r>
      <w:proofErr w:type="spellStart"/>
      <w:r w:rsidRPr="000F0236">
        <w:t>Duchesnay</w:t>
      </w:r>
      <w:proofErr w:type="spellEnd"/>
      <w:r w:rsidRPr="000F0236">
        <w:t xml:space="preserve"> </w:t>
      </w:r>
      <w:r>
        <w:t>E</w:t>
      </w:r>
      <w:r w:rsidRPr="000F0236">
        <w:t xml:space="preserve"> (2011) Scikit-learn: Machine learning in Python</w:t>
      </w:r>
      <w:r>
        <w:t>,</w:t>
      </w:r>
      <w:r w:rsidRPr="000F0236">
        <w:t xml:space="preserve"> Journal of </w:t>
      </w:r>
      <w:r>
        <w:t>M</w:t>
      </w:r>
      <w:r w:rsidRPr="000F0236">
        <w:t xml:space="preserve">achine Learning </w:t>
      </w:r>
      <w:r>
        <w:t>R</w:t>
      </w:r>
      <w:r w:rsidRPr="000F0236">
        <w:t>esearch, 12, 2825-283</w:t>
      </w:r>
      <w:r w:rsidR="003A09F6">
        <w:t>0</w:t>
      </w:r>
    </w:p>
    <w:p w14:paraId="4F6189BF" w14:textId="77777777" w:rsidR="00D46024" w:rsidRPr="00507475" w:rsidRDefault="00D46024" w:rsidP="00A57BAC">
      <w:pPr>
        <w:pStyle w:val="IAHRreferences"/>
      </w:pPr>
    </w:p>
    <w:p w14:paraId="6BEE439E" w14:textId="1DBB4F64" w:rsidR="00D46024" w:rsidRDefault="00D46024" w:rsidP="00A57BAC">
      <w:pPr>
        <w:pStyle w:val="IAHRreferences"/>
      </w:pPr>
      <w:r w:rsidRPr="00507475">
        <w:t>Rezaie-</w:t>
      </w:r>
      <w:proofErr w:type="spellStart"/>
      <w:r w:rsidRPr="00507475">
        <w:t>Balf</w:t>
      </w:r>
      <w:proofErr w:type="spellEnd"/>
      <w:r w:rsidRPr="00507475">
        <w:t xml:space="preserve"> M, </w:t>
      </w:r>
      <w:proofErr w:type="spellStart"/>
      <w:r w:rsidRPr="00507475">
        <w:t>Nowbandegani</w:t>
      </w:r>
      <w:proofErr w:type="spellEnd"/>
      <w:r w:rsidRPr="00507475">
        <w:t xml:space="preserve"> SF, Samadi SZ, </w:t>
      </w:r>
      <w:proofErr w:type="spellStart"/>
      <w:r w:rsidRPr="00507475">
        <w:t>Fallag</w:t>
      </w:r>
      <w:proofErr w:type="spellEnd"/>
      <w:r w:rsidRPr="00507475">
        <w:t xml:space="preserve"> H, </w:t>
      </w:r>
      <w:proofErr w:type="spellStart"/>
      <w:r w:rsidRPr="00507475">
        <w:t>Alaghmand</w:t>
      </w:r>
      <w:proofErr w:type="spellEnd"/>
      <w:r w:rsidRPr="00507475">
        <w:t xml:space="preserve"> S (2019) An ensemble decomposition-based artificial intelligence approach for daily streamflow prediction, Water, 11, 709</w:t>
      </w:r>
    </w:p>
    <w:p w14:paraId="0A3040DD" w14:textId="77777777" w:rsidR="00CE0477" w:rsidRDefault="00CE0477" w:rsidP="00A57BAC">
      <w:pPr>
        <w:pStyle w:val="IAHRreferences"/>
      </w:pPr>
    </w:p>
    <w:p w14:paraId="2A1093D2" w14:textId="35E1807A" w:rsidR="00CE0477" w:rsidRPr="00507475" w:rsidRDefault="00CE0477" w:rsidP="00A57BAC">
      <w:pPr>
        <w:pStyle w:val="IAHRreferences"/>
      </w:pPr>
      <w:r w:rsidRPr="00CE0477">
        <w:t>Tang T, Jiao D, Chen T, Gui G. (2022) Medium-and long-term precipitation forecasting method based on data augmentation and machine learning algorithms</w:t>
      </w:r>
      <w:r>
        <w:t>,</w:t>
      </w:r>
      <w:r w:rsidRPr="00CE0477">
        <w:t xml:space="preserve"> IEEE Journal of Selected Topics in Applied Earth Observations and Remote Sensing, 15, 1000-1011</w:t>
      </w:r>
    </w:p>
    <w:p w14:paraId="2EA4FF6F" w14:textId="77777777" w:rsidR="00D46024" w:rsidRDefault="00D46024" w:rsidP="00A57BAC">
      <w:pPr>
        <w:pStyle w:val="IAHRreferences"/>
      </w:pPr>
    </w:p>
    <w:p w14:paraId="70D2F291" w14:textId="5C5B0351" w:rsidR="00DD177D" w:rsidRDefault="00DD177D" w:rsidP="00A57BAC">
      <w:pPr>
        <w:pStyle w:val="IAHRreferences"/>
      </w:pPr>
      <w:r w:rsidRPr="00DD177D">
        <w:t xml:space="preserve">Vilaseca F, Castro A, </w:t>
      </w:r>
      <w:proofErr w:type="spellStart"/>
      <w:r w:rsidRPr="00DD177D">
        <w:t>Chreties</w:t>
      </w:r>
      <w:proofErr w:type="spellEnd"/>
      <w:r w:rsidRPr="00DD177D">
        <w:t xml:space="preserve"> C, </w:t>
      </w:r>
      <w:proofErr w:type="spellStart"/>
      <w:r w:rsidRPr="00DD177D">
        <w:t>Gorgoglione</w:t>
      </w:r>
      <w:proofErr w:type="spellEnd"/>
      <w:r w:rsidRPr="00DD177D">
        <w:t xml:space="preserve"> A (2021) Daily rainfall-runoff modeling at watershed scale: a comparison between </w:t>
      </w:r>
      <w:proofErr w:type="gramStart"/>
      <w:r w:rsidRPr="00DD177D">
        <w:t>physically-based</w:t>
      </w:r>
      <w:proofErr w:type="gramEnd"/>
      <w:r w:rsidRPr="00DD177D">
        <w:t xml:space="preserve"> and data-driven models</w:t>
      </w:r>
      <w:r>
        <w:t>,</w:t>
      </w:r>
      <w:r w:rsidRPr="00DD177D">
        <w:t xml:space="preserve"> In International Conference on Computational Science and Its Applications</w:t>
      </w:r>
      <w:r w:rsidR="007F37B1">
        <w:t>, 18-33</w:t>
      </w:r>
    </w:p>
    <w:p w14:paraId="74052CC1" w14:textId="77777777" w:rsidR="00DD177D" w:rsidRPr="00507475" w:rsidRDefault="00DD177D" w:rsidP="00A57BAC">
      <w:pPr>
        <w:pStyle w:val="IAHRreferences"/>
      </w:pPr>
    </w:p>
    <w:p w14:paraId="3C392C8D" w14:textId="36AE3EF7" w:rsidR="00D46024" w:rsidRDefault="00D46024" w:rsidP="00A57BAC">
      <w:pPr>
        <w:pStyle w:val="IAHRreferences"/>
      </w:pPr>
      <w:r w:rsidRPr="00507475">
        <w:t xml:space="preserve">Vilaseca F, </w:t>
      </w:r>
      <w:proofErr w:type="spellStart"/>
      <w:r w:rsidRPr="00507475">
        <w:t>Chreties</w:t>
      </w:r>
      <w:proofErr w:type="spellEnd"/>
      <w:r w:rsidRPr="00507475">
        <w:t xml:space="preserve"> C, Castro A, </w:t>
      </w:r>
      <w:proofErr w:type="spellStart"/>
      <w:r w:rsidRPr="00507475">
        <w:t>Gorgoglione</w:t>
      </w:r>
      <w:proofErr w:type="spellEnd"/>
      <w:r w:rsidRPr="00507475">
        <w:t xml:space="preserve"> A (2023) Assessing influential rainfall-runoff variables to simulate daily streamflow using Random Forests, Hydrological Sciences Journal, </w:t>
      </w:r>
      <w:r w:rsidR="00445144" w:rsidRPr="00445144">
        <w:t>68(12), 1738-1753</w:t>
      </w:r>
    </w:p>
    <w:p w14:paraId="2E26D457" w14:textId="77777777" w:rsidR="002F4ADA" w:rsidRDefault="002F4ADA" w:rsidP="00A57BAC">
      <w:pPr>
        <w:pStyle w:val="IAHRreferences"/>
      </w:pPr>
    </w:p>
    <w:p w14:paraId="5E4BF12E" w14:textId="135400EF" w:rsidR="002F4ADA" w:rsidRPr="00507475" w:rsidRDefault="00E90FD3" w:rsidP="00A57BAC">
      <w:pPr>
        <w:pStyle w:val="IAHRreferences"/>
      </w:pPr>
      <w:r w:rsidRPr="00E90FD3">
        <w:t>Zhang J, Yan H (2023) A long short-term components neural network model with data augmentation for daily runoff forecasting</w:t>
      </w:r>
      <w:r w:rsidR="00CE0477">
        <w:t xml:space="preserve">, </w:t>
      </w:r>
      <w:r w:rsidRPr="00E90FD3">
        <w:t>Journal of Hydrology, 617, 128853</w:t>
      </w:r>
    </w:p>
    <w:sectPr w:rsidR="002F4ADA" w:rsidRPr="00507475" w:rsidSect="00B8005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F34C8"/>
    <w:multiLevelType w:val="hybridMultilevel"/>
    <w:tmpl w:val="39B2ED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C41DF"/>
    <w:multiLevelType w:val="multilevel"/>
    <w:tmpl w:val="7E4E1456"/>
    <w:lvl w:ilvl="0">
      <w:start w:val="1"/>
      <w:numFmt w:val="decimal"/>
      <w:pStyle w:val="IAHRheading1"/>
      <w:lvlText w:val="%1."/>
      <w:lvlJc w:val="left"/>
      <w:pPr>
        <w:ind w:left="360" w:hanging="360"/>
      </w:pPr>
      <w:rPr>
        <w:rFonts w:hint="default"/>
      </w:rPr>
    </w:lvl>
    <w:lvl w:ilvl="1">
      <w:start w:val="1"/>
      <w:numFmt w:val="decimal"/>
      <w:pStyle w:val="IAHR-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67979675">
    <w:abstractNumId w:val="2"/>
  </w:num>
  <w:num w:numId="2" w16cid:durableId="1740711689">
    <w:abstractNumId w:val="1"/>
  </w:num>
  <w:num w:numId="3" w16cid:durableId="1336297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zMDIxtDAwNTazMDVW0lEKTi0uzszPAykwqQUAt5/vFiwAAAA="/>
  </w:docVars>
  <w:rsids>
    <w:rsidRoot w:val="00025D1B"/>
    <w:rsid w:val="00006B6E"/>
    <w:rsid w:val="00017EA7"/>
    <w:rsid w:val="000206E4"/>
    <w:rsid w:val="00023D99"/>
    <w:rsid w:val="00025D1B"/>
    <w:rsid w:val="00025ECC"/>
    <w:rsid w:val="0002663F"/>
    <w:rsid w:val="0002672F"/>
    <w:rsid w:val="000302E3"/>
    <w:rsid w:val="0003083E"/>
    <w:rsid w:val="00031BC0"/>
    <w:rsid w:val="00032E58"/>
    <w:rsid w:val="000355C7"/>
    <w:rsid w:val="000372A2"/>
    <w:rsid w:val="00046AE3"/>
    <w:rsid w:val="000517B6"/>
    <w:rsid w:val="00057505"/>
    <w:rsid w:val="000601DC"/>
    <w:rsid w:val="00064360"/>
    <w:rsid w:val="00067103"/>
    <w:rsid w:val="000722D9"/>
    <w:rsid w:val="00072C3E"/>
    <w:rsid w:val="00073F16"/>
    <w:rsid w:val="000765F0"/>
    <w:rsid w:val="00082912"/>
    <w:rsid w:val="0009008A"/>
    <w:rsid w:val="00090DBC"/>
    <w:rsid w:val="000A293F"/>
    <w:rsid w:val="000A2CAF"/>
    <w:rsid w:val="000A4727"/>
    <w:rsid w:val="000A597B"/>
    <w:rsid w:val="000A62BA"/>
    <w:rsid w:val="000B1564"/>
    <w:rsid w:val="000B3C37"/>
    <w:rsid w:val="000B409D"/>
    <w:rsid w:val="000B456F"/>
    <w:rsid w:val="000B5ACA"/>
    <w:rsid w:val="000C45DF"/>
    <w:rsid w:val="000D1446"/>
    <w:rsid w:val="000D154E"/>
    <w:rsid w:val="000D37A3"/>
    <w:rsid w:val="000D6DFA"/>
    <w:rsid w:val="000E0841"/>
    <w:rsid w:val="000E1796"/>
    <w:rsid w:val="000E2B80"/>
    <w:rsid w:val="000E6234"/>
    <w:rsid w:val="000F0236"/>
    <w:rsid w:val="000F644D"/>
    <w:rsid w:val="00101C77"/>
    <w:rsid w:val="00105FED"/>
    <w:rsid w:val="00111CA4"/>
    <w:rsid w:val="001128F4"/>
    <w:rsid w:val="00114F07"/>
    <w:rsid w:val="00116CEE"/>
    <w:rsid w:val="00117FB2"/>
    <w:rsid w:val="00123809"/>
    <w:rsid w:val="001328E4"/>
    <w:rsid w:val="00137115"/>
    <w:rsid w:val="0014085A"/>
    <w:rsid w:val="00140BCE"/>
    <w:rsid w:val="001416B8"/>
    <w:rsid w:val="001424C2"/>
    <w:rsid w:val="001455B5"/>
    <w:rsid w:val="00145ACF"/>
    <w:rsid w:val="001464B9"/>
    <w:rsid w:val="00147F57"/>
    <w:rsid w:val="00150408"/>
    <w:rsid w:val="00150A66"/>
    <w:rsid w:val="001535E6"/>
    <w:rsid w:val="00154F71"/>
    <w:rsid w:val="00166690"/>
    <w:rsid w:val="00171CA6"/>
    <w:rsid w:val="00171CBD"/>
    <w:rsid w:val="00172F1D"/>
    <w:rsid w:val="0018149D"/>
    <w:rsid w:val="00181F14"/>
    <w:rsid w:val="001823BD"/>
    <w:rsid w:val="0019038C"/>
    <w:rsid w:val="00191161"/>
    <w:rsid w:val="00193719"/>
    <w:rsid w:val="00196A55"/>
    <w:rsid w:val="00196D85"/>
    <w:rsid w:val="001A064F"/>
    <w:rsid w:val="001A6BDC"/>
    <w:rsid w:val="001A7863"/>
    <w:rsid w:val="001A7ED4"/>
    <w:rsid w:val="001B31DF"/>
    <w:rsid w:val="001B56D3"/>
    <w:rsid w:val="001B73E7"/>
    <w:rsid w:val="001B7AEB"/>
    <w:rsid w:val="001C2DE7"/>
    <w:rsid w:val="001C3A40"/>
    <w:rsid w:val="001D2734"/>
    <w:rsid w:val="001D33DC"/>
    <w:rsid w:val="001D6CE9"/>
    <w:rsid w:val="001E4925"/>
    <w:rsid w:val="001E674F"/>
    <w:rsid w:val="001F1289"/>
    <w:rsid w:val="001F5C25"/>
    <w:rsid w:val="00201BA2"/>
    <w:rsid w:val="00202CBC"/>
    <w:rsid w:val="00205DBD"/>
    <w:rsid w:val="00210101"/>
    <w:rsid w:val="0023288D"/>
    <w:rsid w:val="00245C91"/>
    <w:rsid w:val="00251462"/>
    <w:rsid w:val="00255618"/>
    <w:rsid w:val="00264D83"/>
    <w:rsid w:val="002659C1"/>
    <w:rsid w:val="00266D2E"/>
    <w:rsid w:val="00270047"/>
    <w:rsid w:val="00270AA3"/>
    <w:rsid w:val="00271D25"/>
    <w:rsid w:val="002723C9"/>
    <w:rsid w:val="002801A4"/>
    <w:rsid w:val="00280E29"/>
    <w:rsid w:val="002838C1"/>
    <w:rsid w:val="0028402A"/>
    <w:rsid w:val="002909FF"/>
    <w:rsid w:val="00291A83"/>
    <w:rsid w:val="0029525E"/>
    <w:rsid w:val="002960A1"/>
    <w:rsid w:val="00297079"/>
    <w:rsid w:val="002B25B4"/>
    <w:rsid w:val="002B45C9"/>
    <w:rsid w:val="002C018A"/>
    <w:rsid w:val="002C20C2"/>
    <w:rsid w:val="002C4B57"/>
    <w:rsid w:val="002C7D2B"/>
    <w:rsid w:val="002D3A3C"/>
    <w:rsid w:val="002D4C0D"/>
    <w:rsid w:val="002D7D4E"/>
    <w:rsid w:val="002E0102"/>
    <w:rsid w:val="002E11A9"/>
    <w:rsid w:val="002E309F"/>
    <w:rsid w:val="002E4B89"/>
    <w:rsid w:val="002E574F"/>
    <w:rsid w:val="002E60B2"/>
    <w:rsid w:val="002F3F93"/>
    <w:rsid w:val="002F4ADA"/>
    <w:rsid w:val="002F4C86"/>
    <w:rsid w:val="00301E26"/>
    <w:rsid w:val="00301FF8"/>
    <w:rsid w:val="003062E2"/>
    <w:rsid w:val="00313497"/>
    <w:rsid w:val="0031374A"/>
    <w:rsid w:val="003160B3"/>
    <w:rsid w:val="00316532"/>
    <w:rsid w:val="00322790"/>
    <w:rsid w:val="003307B6"/>
    <w:rsid w:val="003326C1"/>
    <w:rsid w:val="00333D9F"/>
    <w:rsid w:val="00333FFD"/>
    <w:rsid w:val="00335D91"/>
    <w:rsid w:val="003423B4"/>
    <w:rsid w:val="003447AC"/>
    <w:rsid w:val="0034722B"/>
    <w:rsid w:val="00347738"/>
    <w:rsid w:val="003500DB"/>
    <w:rsid w:val="003505DF"/>
    <w:rsid w:val="00350B82"/>
    <w:rsid w:val="00356F2E"/>
    <w:rsid w:val="00360073"/>
    <w:rsid w:val="003604AB"/>
    <w:rsid w:val="0036082C"/>
    <w:rsid w:val="00361560"/>
    <w:rsid w:val="00367B53"/>
    <w:rsid w:val="00371B1F"/>
    <w:rsid w:val="00372B69"/>
    <w:rsid w:val="00380D2E"/>
    <w:rsid w:val="0038276E"/>
    <w:rsid w:val="00383860"/>
    <w:rsid w:val="003869A1"/>
    <w:rsid w:val="00386CC6"/>
    <w:rsid w:val="00387016"/>
    <w:rsid w:val="00390835"/>
    <w:rsid w:val="00396BE8"/>
    <w:rsid w:val="003A09F6"/>
    <w:rsid w:val="003A251C"/>
    <w:rsid w:val="003A53F6"/>
    <w:rsid w:val="003B037A"/>
    <w:rsid w:val="003B3EF4"/>
    <w:rsid w:val="003C0A8C"/>
    <w:rsid w:val="003C48F2"/>
    <w:rsid w:val="003D52FD"/>
    <w:rsid w:val="003D732B"/>
    <w:rsid w:val="003E24E6"/>
    <w:rsid w:val="003E461C"/>
    <w:rsid w:val="003E635E"/>
    <w:rsid w:val="003E7D8A"/>
    <w:rsid w:val="003F13E1"/>
    <w:rsid w:val="003F52B6"/>
    <w:rsid w:val="003F6B23"/>
    <w:rsid w:val="00402A3F"/>
    <w:rsid w:val="00404370"/>
    <w:rsid w:val="00404829"/>
    <w:rsid w:val="004100B3"/>
    <w:rsid w:val="00413054"/>
    <w:rsid w:val="0041327C"/>
    <w:rsid w:val="004149D9"/>
    <w:rsid w:val="00415182"/>
    <w:rsid w:val="00417642"/>
    <w:rsid w:val="00420201"/>
    <w:rsid w:val="00424A2E"/>
    <w:rsid w:val="00427130"/>
    <w:rsid w:val="00433843"/>
    <w:rsid w:val="00440BBE"/>
    <w:rsid w:val="00440CF6"/>
    <w:rsid w:val="00445144"/>
    <w:rsid w:val="004458CA"/>
    <w:rsid w:val="004518C8"/>
    <w:rsid w:val="00454B1B"/>
    <w:rsid w:val="00462832"/>
    <w:rsid w:val="00464840"/>
    <w:rsid w:val="00465FDD"/>
    <w:rsid w:val="00466952"/>
    <w:rsid w:val="00467E6E"/>
    <w:rsid w:val="004703EE"/>
    <w:rsid w:val="0047353B"/>
    <w:rsid w:val="00473F79"/>
    <w:rsid w:val="00474782"/>
    <w:rsid w:val="004760CD"/>
    <w:rsid w:val="004816C3"/>
    <w:rsid w:val="00481A07"/>
    <w:rsid w:val="00483EC5"/>
    <w:rsid w:val="00485405"/>
    <w:rsid w:val="00496FCA"/>
    <w:rsid w:val="004A1D03"/>
    <w:rsid w:val="004A3AC6"/>
    <w:rsid w:val="004A7828"/>
    <w:rsid w:val="004B168F"/>
    <w:rsid w:val="004B340A"/>
    <w:rsid w:val="004B4537"/>
    <w:rsid w:val="004B4F7E"/>
    <w:rsid w:val="004B547B"/>
    <w:rsid w:val="004B64F2"/>
    <w:rsid w:val="004B68C2"/>
    <w:rsid w:val="004B718E"/>
    <w:rsid w:val="004B78C4"/>
    <w:rsid w:val="004C0688"/>
    <w:rsid w:val="004C2CCF"/>
    <w:rsid w:val="004C3E49"/>
    <w:rsid w:val="004C71AA"/>
    <w:rsid w:val="004D087A"/>
    <w:rsid w:val="004D179E"/>
    <w:rsid w:val="004E79B3"/>
    <w:rsid w:val="004F2574"/>
    <w:rsid w:val="00504AA2"/>
    <w:rsid w:val="00507475"/>
    <w:rsid w:val="005075B5"/>
    <w:rsid w:val="00507858"/>
    <w:rsid w:val="00513165"/>
    <w:rsid w:val="00517AE6"/>
    <w:rsid w:val="005202DE"/>
    <w:rsid w:val="0052227F"/>
    <w:rsid w:val="005268B5"/>
    <w:rsid w:val="00530DD7"/>
    <w:rsid w:val="00533A9B"/>
    <w:rsid w:val="0054683A"/>
    <w:rsid w:val="005475F9"/>
    <w:rsid w:val="00557440"/>
    <w:rsid w:val="00564934"/>
    <w:rsid w:val="00565862"/>
    <w:rsid w:val="00567AB6"/>
    <w:rsid w:val="00567E16"/>
    <w:rsid w:val="00570697"/>
    <w:rsid w:val="00574F80"/>
    <w:rsid w:val="00577C89"/>
    <w:rsid w:val="00581B87"/>
    <w:rsid w:val="005823B9"/>
    <w:rsid w:val="005840A6"/>
    <w:rsid w:val="00584699"/>
    <w:rsid w:val="00586363"/>
    <w:rsid w:val="00590E22"/>
    <w:rsid w:val="0059579D"/>
    <w:rsid w:val="005965B4"/>
    <w:rsid w:val="00597908"/>
    <w:rsid w:val="005979E6"/>
    <w:rsid w:val="005A0985"/>
    <w:rsid w:val="005A2E78"/>
    <w:rsid w:val="005A75B7"/>
    <w:rsid w:val="005B0B3D"/>
    <w:rsid w:val="005B7C87"/>
    <w:rsid w:val="005B7FFC"/>
    <w:rsid w:val="005C3DF9"/>
    <w:rsid w:val="005D2FEC"/>
    <w:rsid w:val="005D3249"/>
    <w:rsid w:val="005E000B"/>
    <w:rsid w:val="005E49C4"/>
    <w:rsid w:val="005E5961"/>
    <w:rsid w:val="005F1606"/>
    <w:rsid w:val="005F4A00"/>
    <w:rsid w:val="005F7790"/>
    <w:rsid w:val="00600592"/>
    <w:rsid w:val="0060128C"/>
    <w:rsid w:val="006014C3"/>
    <w:rsid w:val="0060269C"/>
    <w:rsid w:val="006029A1"/>
    <w:rsid w:val="006178C8"/>
    <w:rsid w:val="00621DE9"/>
    <w:rsid w:val="00623841"/>
    <w:rsid w:val="00626822"/>
    <w:rsid w:val="00631EA4"/>
    <w:rsid w:val="00633337"/>
    <w:rsid w:val="00633B83"/>
    <w:rsid w:val="00645882"/>
    <w:rsid w:val="00646899"/>
    <w:rsid w:val="0065060D"/>
    <w:rsid w:val="0065112A"/>
    <w:rsid w:val="0065454F"/>
    <w:rsid w:val="0065521B"/>
    <w:rsid w:val="006565F8"/>
    <w:rsid w:val="006574D1"/>
    <w:rsid w:val="00662DF3"/>
    <w:rsid w:val="0066365E"/>
    <w:rsid w:val="006645CE"/>
    <w:rsid w:val="00667519"/>
    <w:rsid w:val="006706D7"/>
    <w:rsid w:val="00681AE6"/>
    <w:rsid w:val="00691D66"/>
    <w:rsid w:val="00693257"/>
    <w:rsid w:val="00695FF4"/>
    <w:rsid w:val="006A4E55"/>
    <w:rsid w:val="006B25A3"/>
    <w:rsid w:val="006B2E8D"/>
    <w:rsid w:val="006B383D"/>
    <w:rsid w:val="006B55B5"/>
    <w:rsid w:val="006B7864"/>
    <w:rsid w:val="006C16E8"/>
    <w:rsid w:val="006C2049"/>
    <w:rsid w:val="006D3AE0"/>
    <w:rsid w:val="006D4AFF"/>
    <w:rsid w:val="006E0759"/>
    <w:rsid w:val="006E0A90"/>
    <w:rsid w:val="006E3197"/>
    <w:rsid w:val="006E435C"/>
    <w:rsid w:val="006F126A"/>
    <w:rsid w:val="006F5CE3"/>
    <w:rsid w:val="0070115F"/>
    <w:rsid w:val="00706E53"/>
    <w:rsid w:val="00711CB1"/>
    <w:rsid w:val="00717ABE"/>
    <w:rsid w:val="00721260"/>
    <w:rsid w:val="00724E71"/>
    <w:rsid w:val="00727518"/>
    <w:rsid w:val="00727842"/>
    <w:rsid w:val="00730E00"/>
    <w:rsid w:val="00733725"/>
    <w:rsid w:val="007373A6"/>
    <w:rsid w:val="007448F5"/>
    <w:rsid w:val="00747B01"/>
    <w:rsid w:val="00747D82"/>
    <w:rsid w:val="0075031F"/>
    <w:rsid w:val="00752D2C"/>
    <w:rsid w:val="007534DF"/>
    <w:rsid w:val="00760AE9"/>
    <w:rsid w:val="00765581"/>
    <w:rsid w:val="00765638"/>
    <w:rsid w:val="00765EC2"/>
    <w:rsid w:val="00766F52"/>
    <w:rsid w:val="007705F6"/>
    <w:rsid w:val="00777DB9"/>
    <w:rsid w:val="00781044"/>
    <w:rsid w:val="00782835"/>
    <w:rsid w:val="007854EC"/>
    <w:rsid w:val="0078659C"/>
    <w:rsid w:val="007869DB"/>
    <w:rsid w:val="0079571A"/>
    <w:rsid w:val="007A13C1"/>
    <w:rsid w:val="007B7A3D"/>
    <w:rsid w:val="007C0ACD"/>
    <w:rsid w:val="007C1BBC"/>
    <w:rsid w:val="007C37FB"/>
    <w:rsid w:val="007C44F7"/>
    <w:rsid w:val="007C4844"/>
    <w:rsid w:val="007C5B49"/>
    <w:rsid w:val="007C7800"/>
    <w:rsid w:val="007D0FDE"/>
    <w:rsid w:val="007E14E9"/>
    <w:rsid w:val="007F0685"/>
    <w:rsid w:val="007F37B1"/>
    <w:rsid w:val="007F4970"/>
    <w:rsid w:val="007F6CE5"/>
    <w:rsid w:val="0080200E"/>
    <w:rsid w:val="00803ABA"/>
    <w:rsid w:val="00804C95"/>
    <w:rsid w:val="00810B5B"/>
    <w:rsid w:val="008126DA"/>
    <w:rsid w:val="00812E90"/>
    <w:rsid w:val="00816770"/>
    <w:rsid w:val="008211A1"/>
    <w:rsid w:val="00821396"/>
    <w:rsid w:val="00821955"/>
    <w:rsid w:val="008245AE"/>
    <w:rsid w:val="00830CAB"/>
    <w:rsid w:val="00830E38"/>
    <w:rsid w:val="00837E26"/>
    <w:rsid w:val="00840208"/>
    <w:rsid w:val="00842575"/>
    <w:rsid w:val="00842B2A"/>
    <w:rsid w:val="00842F41"/>
    <w:rsid w:val="008450BC"/>
    <w:rsid w:val="00850EB6"/>
    <w:rsid w:val="0085304A"/>
    <w:rsid w:val="0086025B"/>
    <w:rsid w:val="0086051E"/>
    <w:rsid w:val="00864CEA"/>
    <w:rsid w:val="00866E93"/>
    <w:rsid w:val="008745BF"/>
    <w:rsid w:val="008835AB"/>
    <w:rsid w:val="008870FF"/>
    <w:rsid w:val="0088725A"/>
    <w:rsid w:val="008900B0"/>
    <w:rsid w:val="00893447"/>
    <w:rsid w:val="00896D03"/>
    <w:rsid w:val="008A0001"/>
    <w:rsid w:val="008A1D37"/>
    <w:rsid w:val="008B027B"/>
    <w:rsid w:val="008C1376"/>
    <w:rsid w:val="008C701F"/>
    <w:rsid w:val="008C7909"/>
    <w:rsid w:val="008D432A"/>
    <w:rsid w:val="008D50C0"/>
    <w:rsid w:val="008D51BC"/>
    <w:rsid w:val="008E0F91"/>
    <w:rsid w:val="008E3071"/>
    <w:rsid w:val="008E48E6"/>
    <w:rsid w:val="008F5CCD"/>
    <w:rsid w:val="008F715E"/>
    <w:rsid w:val="00905C6A"/>
    <w:rsid w:val="00907DB9"/>
    <w:rsid w:val="009116F2"/>
    <w:rsid w:val="0091276F"/>
    <w:rsid w:val="00915586"/>
    <w:rsid w:val="00917E50"/>
    <w:rsid w:val="0092099B"/>
    <w:rsid w:val="00926804"/>
    <w:rsid w:val="00926EE1"/>
    <w:rsid w:val="009349A1"/>
    <w:rsid w:val="009350A6"/>
    <w:rsid w:val="0094421E"/>
    <w:rsid w:val="009464EF"/>
    <w:rsid w:val="0094699B"/>
    <w:rsid w:val="00950419"/>
    <w:rsid w:val="00951D8E"/>
    <w:rsid w:val="009573C2"/>
    <w:rsid w:val="00961891"/>
    <w:rsid w:val="00964B16"/>
    <w:rsid w:val="00971165"/>
    <w:rsid w:val="00971718"/>
    <w:rsid w:val="009719A3"/>
    <w:rsid w:val="00975266"/>
    <w:rsid w:val="009776D5"/>
    <w:rsid w:val="009818A0"/>
    <w:rsid w:val="0098384E"/>
    <w:rsid w:val="00991536"/>
    <w:rsid w:val="009930DE"/>
    <w:rsid w:val="00997BE4"/>
    <w:rsid w:val="009A34F4"/>
    <w:rsid w:val="009A4368"/>
    <w:rsid w:val="009A4F5D"/>
    <w:rsid w:val="009A5AD4"/>
    <w:rsid w:val="009A5DE9"/>
    <w:rsid w:val="009A7FD6"/>
    <w:rsid w:val="009B203C"/>
    <w:rsid w:val="009B35E9"/>
    <w:rsid w:val="009B4180"/>
    <w:rsid w:val="009C3BC3"/>
    <w:rsid w:val="009C3D38"/>
    <w:rsid w:val="009E1D40"/>
    <w:rsid w:val="009E1DC3"/>
    <w:rsid w:val="009E3CD5"/>
    <w:rsid w:val="009E7B90"/>
    <w:rsid w:val="009F2739"/>
    <w:rsid w:val="009F2741"/>
    <w:rsid w:val="009F75D1"/>
    <w:rsid w:val="00A05C51"/>
    <w:rsid w:val="00A10405"/>
    <w:rsid w:val="00A21AA7"/>
    <w:rsid w:val="00A21D58"/>
    <w:rsid w:val="00A2552F"/>
    <w:rsid w:val="00A259A4"/>
    <w:rsid w:val="00A27554"/>
    <w:rsid w:val="00A30610"/>
    <w:rsid w:val="00A30BBA"/>
    <w:rsid w:val="00A36E4B"/>
    <w:rsid w:val="00A40686"/>
    <w:rsid w:val="00A42E81"/>
    <w:rsid w:val="00A43B2F"/>
    <w:rsid w:val="00A43F12"/>
    <w:rsid w:val="00A45E89"/>
    <w:rsid w:val="00A47140"/>
    <w:rsid w:val="00A563F5"/>
    <w:rsid w:val="00A567B8"/>
    <w:rsid w:val="00A57BAC"/>
    <w:rsid w:val="00A61262"/>
    <w:rsid w:val="00A66A76"/>
    <w:rsid w:val="00A67CCA"/>
    <w:rsid w:val="00A71ED4"/>
    <w:rsid w:val="00A71EEA"/>
    <w:rsid w:val="00A72A03"/>
    <w:rsid w:val="00A77D44"/>
    <w:rsid w:val="00A8307F"/>
    <w:rsid w:val="00A863DE"/>
    <w:rsid w:val="00A87CD8"/>
    <w:rsid w:val="00A9129C"/>
    <w:rsid w:val="00A9384E"/>
    <w:rsid w:val="00A94944"/>
    <w:rsid w:val="00A961B1"/>
    <w:rsid w:val="00A96B03"/>
    <w:rsid w:val="00A96D1A"/>
    <w:rsid w:val="00A972D0"/>
    <w:rsid w:val="00AA018A"/>
    <w:rsid w:val="00AA1BBE"/>
    <w:rsid w:val="00AA419A"/>
    <w:rsid w:val="00AA6EFA"/>
    <w:rsid w:val="00AB7B08"/>
    <w:rsid w:val="00AC1045"/>
    <w:rsid w:val="00AD4AD7"/>
    <w:rsid w:val="00AD4CF3"/>
    <w:rsid w:val="00AD685B"/>
    <w:rsid w:val="00AE1BA2"/>
    <w:rsid w:val="00AE39BF"/>
    <w:rsid w:val="00AE5DD0"/>
    <w:rsid w:val="00AF4DE8"/>
    <w:rsid w:val="00AF7322"/>
    <w:rsid w:val="00B0273E"/>
    <w:rsid w:val="00B02D66"/>
    <w:rsid w:val="00B11374"/>
    <w:rsid w:val="00B16CA5"/>
    <w:rsid w:val="00B17DB1"/>
    <w:rsid w:val="00B209F8"/>
    <w:rsid w:val="00B31F57"/>
    <w:rsid w:val="00B31FB2"/>
    <w:rsid w:val="00B331FD"/>
    <w:rsid w:val="00B5037F"/>
    <w:rsid w:val="00B5157B"/>
    <w:rsid w:val="00B54BFC"/>
    <w:rsid w:val="00B62459"/>
    <w:rsid w:val="00B63324"/>
    <w:rsid w:val="00B6706D"/>
    <w:rsid w:val="00B67FF5"/>
    <w:rsid w:val="00B80058"/>
    <w:rsid w:val="00B8034D"/>
    <w:rsid w:val="00B85247"/>
    <w:rsid w:val="00B91402"/>
    <w:rsid w:val="00B91BAE"/>
    <w:rsid w:val="00B9636F"/>
    <w:rsid w:val="00BA244D"/>
    <w:rsid w:val="00BA4771"/>
    <w:rsid w:val="00BA6B56"/>
    <w:rsid w:val="00BB03DC"/>
    <w:rsid w:val="00BB086A"/>
    <w:rsid w:val="00BB30ED"/>
    <w:rsid w:val="00BB3300"/>
    <w:rsid w:val="00BB62E5"/>
    <w:rsid w:val="00BC0CFD"/>
    <w:rsid w:val="00BC3E75"/>
    <w:rsid w:val="00BC5919"/>
    <w:rsid w:val="00BC5B65"/>
    <w:rsid w:val="00BC68F7"/>
    <w:rsid w:val="00BD0DDB"/>
    <w:rsid w:val="00BD2122"/>
    <w:rsid w:val="00BD69D6"/>
    <w:rsid w:val="00BE1DB8"/>
    <w:rsid w:val="00BE1FD9"/>
    <w:rsid w:val="00BE25EF"/>
    <w:rsid w:val="00BE48CE"/>
    <w:rsid w:val="00BE60C6"/>
    <w:rsid w:val="00BE72E2"/>
    <w:rsid w:val="00BF2485"/>
    <w:rsid w:val="00BF4759"/>
    <w:rsid w:val="00BF4B9D"/>
    <w:rsid w:val="00BF67B2"/>
    <w:rsid w:val="00C1124E"/>
    <w:rsid w:val="00C150E8"/>
    <w:rsid w:val="00C164B6"/>
    <w:rsid w:val="00C23B9C"/>
    <w:rsid w:val="00C24A96"/>
    <w:rsid w:val="00C25D97"/>
    <w:rsid w:val="00C2717A"/>
    <w:rsid w:val="00C30C66"/>
    <w:rsid w:val="00C31304"/>
    <w:rsid w:val="00C34C45"/>
    <w:rsid w:val="00C40845"/>
    <w:rsid w:val="00C408D8"/>
    <w:rsid w:val="00C464A6"/>
    <w:rsid w:val="00C47524"/>
    <w:rsid w:val="00C519A7"/>
    <w:rsid w:val="00C56A93"/>
    <w:rsid w:val="00C612CB"/>
    <w:rsid w:val="00C65358"/>
    <w:rsid w:val="00C70609"/>
    <w:rsid w:val="00C74C4C"/>
    <w:rsid w:val="00C74EA4"/>
    <w:rsid w:val="00C77D32"/>
    <w:rsid w:val="00C77EA8"/>
    <w:rsid w:val="00C8148C"/>
    <w:rsid w:val="00C81809"/>
    <w:rsid w:val="00C87388"/>
    <w:rsid w:val="00C9053E"/>
    <w:rsid w:val="00C95584"/>
    <w:rsid w:val="00CA002B"/>
    <w:rsid w:val="00CA1BAA"/>
    <w:rsid w:val="00CA4579"/>
    <w:rsid w:val="00CB05F8"/>
    <w:rsid w:val="00CB4DEE"/>
    <w:rsid w:val="00CC088F"/>
    <w:rsid w:val="00CC473D"/>
    <w:rsid w:val="00CC700B"/>
    <w:rsid w:val="00CD3394"/>
    <w:rsid w:val="00CD39F4"/>
    <w:rsid w:val="00CD4011"/>
    <w:rsid w:val="00CD5BC8"/>
    <w:rsid w:val="00CD60BE"/>
    <w:rsid w:val="00CD6199"/>
    <w:rsid w:val="00CE0477"/>
    <w:rsid w:val="00CE37E1"/>
    <w:rsid w:val="00CE647C"/>
    <w:rsid w:val="00CF4470"/>
    <w:rsid w:val="00CF5B55"/>
    <w:rsid w:val="00CF6A6B"/>
    <w:rsid w:val="00CF7F11"/>
    <w:rsid w:val="00D01409"/>
    <w:rsid w:val="00D0440E"/>
    <w:rsid w:val="00D05CDC"/>
    <w:rsid w:val="00D0623A"/>
    <w:rsid w:val="00D0754A"/>
    <w:rsid w:val="00D0794B"/>
    <w:rsid w:val="00D079FD"/>
    <w:rsid w:val="00D11168"/>
    <w:rsid w:val="00D11F93"/>
    <w:rsid w:val="00D168CD"/>
    <w:rsid w:val="00D22161"/>
    <w:rsid w:val="00D2495E"/>
    <w:rsid w:val="00D2522B"/>
    <w:rsid w:val="00D304EF"/>
    <w:rsid w:val="00D30FB9"/>
    <w:rsid w:val="00D317B1"/>
    <w:rsid w:val="00D322B5"/>
    <w:rsid w:val="00D44755"/>
    <w:rsid w:val="00D45301"/>
    <w:rsid w:val="00D45DFE"/>
    <w:rsid w:val="00D46024"/>
    <w:rsid w:val="00D4665B"/>
    <w:rsid w:val="00D51321"/>
    <w:rsid w:val="00D51F7C"/>
    <w:rsid w:val="00D557B3"/>
    <w:rsid w:val="00D609FD"/>
    <w:rsid w:val="00D60DB1"/>
    <w:rsid w:val="00D65E90"/>
    <w:rsid w:val="00D74F62"/>
    <w:rsid w:val="00D831C3"/>
    <w:rsid w:val="00D8331C"/>
    <w:rsid w:val="00D8402E"/>
    <w:rsid w:val="00D8749E"/>
    <w:rsid w:val="00D92797"/>
    <w:rsid w:val="00DA17B9"/>
    <w:rsid w:val="00DA5CAA"/>
    <w:rsid w:val="00DA7475"/>
    <w:rsid w:val="00DB2213"/>
    <w:rsid w:val="00DB25DC"/>
    <w:rsid w:val="00DC4BFF"/>
    <w:rsid w:val="00DC532B"/>
    <w:rsid w:val="00DC554A"/>
    <w:rsid w:val="00DC5970"/>
    <w:rsid w:val="00DC5EE3"/>
    <w:rsid w:val="00DD0D36"/>
    <w:rsid w:val="00DD177D"/>
    <w:rsid w:val="00DD1911"/>
    <w:rsid w:val="00DE5D44"/>
    <w:rsid w:val="00DF1693"/>
    <w:rsid w:val="00DF56A5"/>
    <w:rsid w:val="00DF722D"/>
    <w:rsid w:val="00DF7944"/>
    <w:rsid w:val="00E01A32"/>
    <w:rsid w:val="00E04D73"/>
    <w:rsid w:val="00E079D5"/>
    <w:rsid w:val="00E07CDC"/>
    <w:rsid w:val="00E1163A"/>
    <w:rsid w:val="00E158AF"/>
    <w:rsid w:val="00E16C16"/>
    <w:rsid w:val="00E171D5"/>
    <w:rsid w:val="00E212F2"/>
    <w:rsid w:val="00E24B40"/>
    <w:rsid w:val="00E327E0"/>
    <w:rsid w:val="00E32C46"/>
    <w:rsid w:val="00E338FF"/>
    <w:rsid w:val="00E36084"/>
    <w:rsid w:val="00E36A4E"/>
    <w:rsid w:val="00E403AC"/>
    <w:rsid w:val="00E40B5C"/>
    <w:rsid w:val="00E4208C"/>
    <w:rsid w:val="00E42E6B"/>
    <w:rsid w:val="00E44BAF"/>
    <w:rsid w:val="00E47B14"/>
    <w:rsid w:val="00E504CD"/>
    <w:rsid w:val="00E5320A"/>
    <w:rsid w:val="00E533E7"/>
    <w:rsid w:val="00E5349A"/>
    <w:rsid w:val="00E5368C"/>
    <w:rsid w:val="00E61755"/>
    <w:rsid w:val="00E72B92"/>
    <w:rsid w:val="00E815E0"/>
    <w:rsid w:val="00E83602"/>
    <w:rsid w:val="00E90FD3"/>
    <w:rsid w:val="00E91CD6"/>
    <w:rsid w:val="00E95F64"/>
    <w:rsid w:val="00EA0E60"/>
    <w:rsid w:val="00EA4F05"/>
    <w:rsid w:val="00EA77D9"/>
    <w:rsid w:val="00EB0809"/>
    <w:rsid w:val="00EB1116"/>
    <w:rsid w:val="00EB5192"/>
    <w:rsid w:val="00EB629B"/>
    <w:rsid w:val="00EB6CBE"/>
    <w:rsid w:val="00EC0808"/>
    <w:rsid w:val="00EC294D"/>
    <w:rsid w:val="00EC3E7F"/>
    <w:rsid w:val="00EC4847"/>
    <w:rsid w:val="00EC6613"/>
    <w:rsid w:val="00EC6941"/>
    <w:rsid w:val="00EC75D8"/>
    <w:rsid w:val="00ED0DA3"/>
    <w:rsid w:val="00ED1CE5"/>
    <w:rsid w:val="00ED6E6A"/>
    <w:rsid w:val="00EE2489"/>
    <w:rsid w:val="00EE5F8E"/>
    <w:rsid w:val="00EE66EB"/>
    <w:rsid w:val="00EF044F"/>
    <w:rsid w:val="00EF1F20"/>
    <w:rsid w:val="00EF266E"/>
    <w:rsid w:val="00EF2931"/>
    <w:rsid w:val="00EF6DBB"/>
    <w:rsid w:val="00F015CD"/>
    <w:rsid w:val="00F05656"/>
    <w:rsid w:val="00F13A1B"/>
    <w:rsid w:val="00F1454F"/>
    <w:rsid w:val="00F148FA"/>
    <w:rsid w:val="00F22A81"/>
    <w:rsid w:val="00F26304"/>
    <w:rsid w:val="00F3038F"/>
    <w:rsid w:val="00F32466"/>
    <w:rsid w:val="00F35DAA"/>
    <w:rsid w:val="00F4125C"/>
    <w:rsid w:val="00F42475"/>
    <w:rsid w:val="00F4484B"/>
    <w:rsid w:val="00F50C89"/>
    <w:rsid w:val="00F539F4"/>
    <w:rsid w:val="00F5634E"/>
    <w:rsid w:val="00F6410B"/>
    <w:rsid w:val="00F670CE"/>
    <w:rsid w:val="00F72FE2"/>
    <w:rsid w:val="00F7575C"/>
    <w:rsid w:val="00F775A2"/>
    <w:rsid w:val="00F814FC"/>
    <w:rsid w:val="00F832DA"/>
    <w:rsid w:val="00F958A9"/>
    <w:rsid w:val="00FA1990"/>
    <w:rsid w:val="00FA1EE9"/>
    <w:rsid w:val="00FA7964"/>
    <w:rsid w:val="00FB0DA8"/>
    <w:rsid w:val="00FB7790"/>
    <w:rsid w:val="00FB7D03"/>
    <w:rsid w:val="00FC056F"/>
    <w:rsid w:val="00FC32B5"/>
    <w:rsid w:val="00FC4991"/>
    <w:rsid w:val="00FD2759"/>
    <w:rsid w:val="00FD6389"/>
    <w:rsid w:val="00FE00A8"/>
    <w:rsid w:val="00FE0A09"/>
    <w:rsid w:val="00FE0B4B"/>
    <w:rsid w:val="00FE3F6A"/>
    <w:rsid w:val="00FE726C"/>
    <w:rsid w:val="00FE7EA8"/>
    <w:rsid w:val="00FF0CC2"/>
    <w:rsid w:val="00FF29E9"/>
    <w:rsid w:val="00FF7E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C7E51"/>
  <w15:chartTrackingRefBased/>
  <w15:docId w15:val="{06FB9E92-4202-4109-9777-E840EC3F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86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HAddress">
    <w:name w:val="SH Address"/>
    <w:basedOn w:val="Normal"/>
    <w:rsid w:val="00025D1B"/>
    <w:pPr>
      <w:spacing w:after="0" w:line="240" w:lineRule="auto"/>
      <w:jc w:val="center"/>
    </w:pPr>
    <w:rPr>
      <w:rFonts w:ascii="Times New Roman" w:eastAsia="Times New Roman" w:hAnsi="Times New Roman" w:cs="Times New Roman"/>
      <w:sz w:val="20"/>
      <w:szCs w:val="20"/>
      <w:lang w:eastAsia="pl-PL"/>
    </w:rPr>
  </w:style>
  <w:style w:type="paragraph" w:customStyle="1" w:styleId="SHAuthor">
    <w:name w:val="SH Author"/>
    <w:basedOn w:val="Normal"/>
    <w:rsid w:val="00025D1B"/>
    <w:pPr>
      <w:spacing w:after="120" w:line="240" w:lineRule="auto"/>
      <w:jc w:val="center"/>
    </w:pPr>
    <w:rPr>
      <w:rFonts w:ascii="Times New Roman" w:eastAsia="Times New Roman" w:hAnsi="Times New Roman" w:cs="Times New Roman"/>
      <w:iCs/>
      <w:sz w:val="20"/>
      <w:szCs w:val="20"/>
      <w:lang w:val="en-US" w:eastAsia="pl-PL"/>
    </w:rPr>
  </w:style>
  <w:style w:type="paragraph" w:customStyle="1" w:styleId="SHTitle">
    <w:name w:val="SH Title"/>
    <w:basedOn w:val="Normal"/>
    <w:rsid w:val="00025D1B"/>
    <w:pPr>
      <w:spacing w:before="600" w:after="240" w:line="240" w:lineRule="auto"/>
      <w:jc w:val="center"/>
    </w:pPr>
    <w:rPr>
      <w:rFonts w:ascii="Times New Roman" w:eastAsia="Times New Roman" w:hAnsi="Times New Roman" w:cs="Times New Roman"/>
      <w:b/>
      <w:sz w:val="28"/>
      <w:szCs w:val="24"/>
      <w:lang w:val="en-GB" w:eastAsia="pl-PL"/>
    </w:rPr>
  </w:style>
  <w:style w:type="paragraph" w:customStyle="1" w:styleId="SHEquation">
    <w:name w:val="SH Equation"/>
    <w:basedOn w:val="Normal"/>
    <w:rsid w:val="00025D1B"/>
    <w:pPr>
      <w:tabs>
        <w:tab w:val="right" w:pos="7598"/>
      </w:tabs>
      <w:spacing w:before="120" w:after="0" w:line="240" w:lineRule="auto"/>
      <w:ind w:firstLine="851"/>
    </w:pPr>
    <w:rPr>
      <w:rFonts w:ascii="Times New Roman" w:eastAsia="Times New Roman" w:hAnsi="Times New Roman" w:cs="Times New Roman"/>
      <w:szCs w:val="20"/>
      <w:lang w:val="en-US" w:eastAsia="pl-PL"/>
    </w:rPr>
  </w:style>
  <w:style w:type="paragraph" w:customStyle="1" w:styleId="SHFigurecaption">
    <w:name w:val="SH Figure caption"/>
    <w:basedOn w:val="SHAbstract-text-noindent"/>
    <w:next w:val="Normal"/>
    <w:rsid w:val="00025D1B"/>
    <w:pPr>
      <w:spacing w:after="120"/>
      <w:jc w:val="center"/>
    </w:pPr>
    <w:rPr>
      <w:sz w:val="17"/>
    </w:rPr>
  </w:style>
  <w:style w:type="paragraph" w:customStyle="1" w:styleId="SHHeader">
    <w:name w:val="SH Header"/>
    <w:basedOn w:val="Normal"/>
    <w:rsid w:val="00025D1B"/>
    <w:pPr>
      <w:spacing w:after="0" w:line="240" w:lineRule="auto"/>
      <w:jc w:val="center"/>
    </w:pPr>
    <w:rPr>
      <w:rFonts w:ascii="Verdana" w:eastAsia="Times New Roman" w:hAnsi="Verdana" w:cs="Times New Roman"/>
      <w:sz w:val="20"/>
      <w:szCs w:val="24"/>
      <w:lang w:eastAsia="pl-PL"/>
    </w:rPr>
  </w:style>
  <w:style w:type="paragraph" w:customStyle="1" w:styleId="SHInstitute">
    <w:name w:val="SH Institute"/>
    <w:basedOn w:val="SHAuthor"/>
    <w:rsid w:val="00025D1B"/>
    <w:pPr>
      <w:spacing w:before="120" w:after="0"/>
    </w:pPr>
  </w:style>
  <w:style w:type="paragraph" w:customStyle="1" w:styleId="SHAbstract-text-noindent">
    <w:name w:val="SH Abstract-text-noindent"/>
    <w:basedOn w:val="Normal"/>
    <w:next w:val="Normal"/>
    <w:qFormat/>
    <w:rsid w:val="009A7FD6"/>
    <w:pPr>
      <w:spacing w:after="0" w:line="240" w:lineRule="auto"/>
      <w:jc w:val="both"/>
    </w:pPr>
    <w:rPr>
      <w:rFonts w:ascii="Times New Roman" w:eastAsia="Times New Roman" w:hAnsi="Times New Roman" w:cs="Times New Roman"/>
      <w:sz w:val="20"/>
      <w:szCs w:val="20"/>
      <w:lang w:val="en-US" w:eastAsia="pl-PL"/>
    </w:rPr>
  </w:style>
  <w:style w:type="paragraph" w:styleId="Textodeglobo">
    <w:name w:val="Balloon Text"/>
    <w:basedOn w:val="Normal"/>
    <w:link w:val="TextodegloboCar"/>
    <w:uiPriority w:val="99"/>
    <w:semiHidden/>
    <w:unhideWhenUsed/>
    <w:rsid w:val="00025D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5D1B"/>
    <w:rPr>
      <w:rFonts w:ascii="Segoe UI" w:hAnsi="Segoe UI" w:cs="Segoe UI"/>
      <w:sz w:val="18"/>
      <w:szCs w:val="18"/>
    </w:rPr>
  </w:style>
  <w:style w:type="paragraph" w:customStyle="1" w:styleId="SHNoindenttext">
    <w:name w:val="SH No indent text"/>
    <w:basedOn w:val="Normal"/>
    <w:next w:val="SHIndenttext"/>
    <w:rsid w:val="00297079"/>
    <w:pPr>
      <w:tabs>
        <w:tab w:val="left" w:pos="567"/>
        <w:tab w:val="left" w:pos="1843"/>
      </w:tabs>
      <w:spacing w:before="120" w:after="0" w:line="240" w:lineRule="auto"/>
      <w:jc w:val="both"/>
    </w:pPr>
    <w:rPr>
      <w:rFonts w:ascii="Times New Roman" w:eastAsia="Times New Roman" w:hAnsi="Times New Roman" w:cs="Times New Roman"/>
      <w:szCs w:val="20"/>
      <w:lang w:val="en-US" w:eastAsia="pl-PL"/>
    </w:rPr>
  </w:style>
  <w:style w:type="paragraph" w:customStyle="1" w:styleId="SHIndenttext">
    <w:name w:val="SH Indent text"/>
    <w:basedOn w:val="Normal"/>
    <w:rsid w:val="00297079"/>
    <w:pPr>
      <w:spacing w:before="120" w:after="0" w:line="240" w:lineRule="auto"/>
      <w:ind w:firstLine="567"/>
      <w:jc w:val="both"/>
    </w:pPr>
    <w:rPr>
      <w:rFonts w:ascii="Times New Roman" w:eastAsia="Times New Roman" w:hAnsi="Times New Roman" w:cs="Times New Roman"/>
      <w:szCs w:val="20"/>
      <w:lang w:val="en-US" w:eastAsia="pl-PL"/>
    </w:rPr>
  </w:style>
  <w:style w:type="paragraph" w:customStyle="1" w:styleId="SHTableno">
    <w:name w:val="SH Table no"/>
    <w:basedOn w:val="SHIndenttext"/>
    <w:next w:val="SHTabletitle"/>
    <w:rsid w:val="00440BBE"/>
    <w:pPr>
      <w:widowControl w:val="0"/>
      <w:ind w:firstLine="0"/>
      <w:jc w:val="center"/>
    </w:pPr>
    <w:rPr>
      <w:rFonts w:eastAsia="MS Mincho"/>
      <w:sz w:val="20"/>
    </w:rPr>
  </w:style>
  <w:style w:type="paragraph" w:customStyle="1" w:styleId="SHTabletitle">
    <w:name w:val="SH Table title"/>
    <w:basedOn w:val="SHTableno"/>
    <w:rsid w:val="00297079"/>
    <w:pPr>
      <w:spacing w:before="0"/>
    </w:pPr>
  </w:style>
  <w:style w:type="paragraph" w:customStyle="1" w:styleId="SHTabletext">
    <w:name w:val="SH Table text"/>
    <w:basedOn w:val="SHTabletitle"/>
    <w:rsid w:val="00297079"/>
  </w:style>
  <w:style w:type="character" w:styleId="Hipervnculo">
    <w:name w:val="Hyperlink"/>
    <w:basedOn w:val="Fuentedeprrafopredeter"/>
    <w:uiPriority w:val="99"/>
    <w:unhideWhenUsed/>
    <w:rsid w:val="0041327C"/>
    <w:rPr>
      <w:color w:val="0563C1" w:themeColor="hyperlink"/>
      <w:u w:val="single"/>
    </w:rPr>
  </w:style>
  <w:style w:type="character" w:customStyle="1" w:styleId="Nierozpoznanawzmianka1">
    <w:name w:val="Nierozpoznana wzmianka1"/>
    <w:basedOn w:val="Fuentedeprrafopredeter"/>
    <w:uiPriority w:val="99"/>
    <w:semiHidden/>
    <w:unhideWhenUsed/>
    <w:rsid w:val="0041327C"/>
    <w:rPr>
      <w:color w:val="605E5C"/>
      <w:shd w:val="clear" w:color="auto" w:fill="E1DFDD"/>
    </w:rPr>
  </w:style>
  <w:style w:type="paragraph" w:customStyle="1" w:styleId="IAHRheader">
    <w:name w:val="IAHR_header"/>
    <w:basedOn w:val="SHHeader"/>
    <w:autoRedefine/>
    <w:qFormat/>
    <w:rsid w:val="009B203C"/>
    <w:pPr>
      <w:jc w:val="left"/>
    </w:pPr>
    <w:rPr>
      <w:rFonts w:ascii="Times New Roman" w:eastAsia="MS Mincho" w:hAnsi="Times New Roman"/>
      <w:lang w:val="en-GB"/>
    </w:rPr>
  </w:style>
  <w:style w:type="paragraph" w:customStyle="1" w:styleId="IAHRtitle">
    <w:name w:val="IAHR_title"/>
    <w:basedOn w:val="SHTitle"/>
    <w:qFormat/>
    <w:rsid w:val="007F0685"/>
  </w:style>
  <w:style w:type="paragraph" w:customStyle="1" w:styleId="IAHRauthor">
    <w:name w:val="IAHR_author"/>
    <w:basedOn w:val="SHAuthor"/>
    <w:autoRedefine/>
    <w:qFormat/>
    <w:rsid w:val="007A13C1"/>
    <w:rPr>
      <w:lang w:val="en-GB"/>
    </w:rPr>
  </w:style>
  <w:style w:type="paragraph" w:customStyle="1" w:styleId="IAHRaffiliation">
    <w:name w:val="IAHR_affiliation"/>
    <w:next w:val="Textosinformato"/>
    <w:qFormat/>
    <w:rsid w:val="00EB5192"/>
    <w:pPr>
      <w:spacing w:after="0"/>
      <w:jc w:val="center"/>
    </w:pPr>
    <w:rPr>
      <w:rFonts w:ascii="Times New Roman" w:eastAsia="Times New Roman" w:hAnsi="Times New Roman" w:cs="Times New Roman"/>
      <w:iCs/>
      <w:sz w:val="20"/>
      <w:szCs w:val="20"/>
      <w:lang w:val="en-GB" w:eastAsia="pl-PL"/>
    </w:rPr>
  </w:style>
  <w:style w:type="paragraph" w:customStyle="1" w:styleId="IAHRabstract">
    <w:name w:val="IAHR_abstract"/>
    <w:basedOn w:val="Normal"/>
    <w:autoRedefine/>
    <w:qFormat/>
    <w:rsid w:val="009A7FD6"/>
    <w:pPr>
      <w:spacing w:before="480" w:after="120" w:line="240" w:lineRule="auto"/>
      <w:jc w:val="center"/>
    </w:pPr>
    <w:rPr>
      <w:rFonts w:ascii="Times New Roman" w:eastAsia="Times New Roman" w:hAnsi="Times New Roman" w:cs="Times New Roman"/>
      <w:iCs/>
      <w:caps/>
      <w:lang w:val="en-US" w:eastAsia="pl-PL"/>
    </w:rPr>
  </w:style>
  <w:style w:type="paragraph" w:styleId="Textosinformato">
    <w:name w:val="Plain Text"/>
    <w:basedOn w:val="Normal"/>
    <w:link w:val="TextosinformatoCar"/>
    <w:uiPriority w:val="99"/>
    <w:semiHidden/>
    <w:unhideWhenUsed/>
    <w:rsid w:val="00570697"/>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570697"/>
    <w:rPr>
      <w:rFonts w:ascii="Consolas" w:hAnsi="Consolas"/>
      <w:sz w:val="21"/>
      <w:szCs w:val="21"/>
    </w:rPr>
  </w:style>
  <w:style w:type="paragraph" w:customStyle="1" w:styleId="IAHRaddress">
    <w:name w:val="IAHR_address"/>
    <w:basedOn w:val="IAHRaffiliation"/>
    <w:autoRedefine/>
    <w:qFormat/>
    <w:rsid w:val="00CF7F11"/>
    <w:pPr>
      <w:spacing w:after="120"/>
    </w:pPr>
  </w:style>
  <w:style w:type="paragraph" w:customStyle="1" w:styleId="Styl1">
    <w:name w:val="Styl1"/>
    <w:basedOn w:val="IAHRaddress"/>
    <w:qFormat/>
    <w:rsid w:val="00926EE1"/>
    <w:pPr>
      <w:spacing w:after="0"/>
    </w:pPr>
  </w:style>
  <w:style w:type="paragraph" w:customStyle="1" w:styleId="IAHRtext">
    <w:name w:val="IAHR_text"/>
    <w:basedOn w:val="SHAbstract-text-noindent"/>
    <w:qFormat/>
    <w:rsid w:val="005C3DF9"/>
    <w:pPr>
      <w:spacing w:before="120"/>
    </w:pPr>
    <w:rPr>
      <w:sz w:val="22"/>
      <w:szCs w:val="22"/>
    </w:rPr>
  </w:style>
  <w:style w:type="paragraph" w:customStyle="1" w:styleId="IAHRfigurecaptio">
    <w:name w:val="IAHR_figure_captio"/>
    <w:basedOn w:val="SHFigurecaption"/>
    <w:autoRedefine/>
    <w:qFormat/>
    <w:rsid w:val="008F5CCD"/>
    <w:pPr>
      <w:spacing w:before="60" w:after="0"/>
    </w:pPr>
    <w:rPr>
      <w:lang w:val="en-GB"/>
    </w:rPr>
  </w:style>
  <w:style w:type="paragraph" w:customStyle="1" w:styleId="IAHRequation">
    <w:name w:val="IAHR_equation"/>
    <w:basedOn w:val="SHEquation"/>
    <w:qFormat/>
    <w:rsid w:val="00372B69"/>
  </w:style>
  <w:style w:type="paragraph" w:customStyle="1" w:styleId="IAHRequationcaption">
    <w:name w:val="IAHR_equation_caption"/>
    <w:basedOn w:val="SHAbstract-text-noindent"/>
    <w:autoRedefine/>
    <w:qFormat/>
    <w:rsid w:val="00577C89"/>
    <w:pPr>
      <w:spacing w:before="60"/>
    </w:pPr>
  </w:style>
  <w:style w:type="paragraph" w:customStyle="1" w:styleId="IAHRheading1">
    <w:name w:val="IAHR_heading1"/>
    <w:basedOn w:val="SHNoindenttext"/>
    <w:autoRedefine/>
    <w:qFormat/>
    <w:rsid w:val="00CC700B"/>
    <w:pPr>
      <w:numPr>
        <w:numId w:val="1"/>
      </w:numPr>
    </w:pPr>
    <w:rPr>
      <w:b/>
      <w:szCs w:val="22"/>
    </w:rPr>
  </w:style>
  <w:style w:type="paragraph" w:customStyle="1" w:styleId="IAHR-heading2">
    <w:name w:val="IAHR-heading2"/>
    <w:basedOn w:val="SHIndenttext"/>
    <w:autoRedefine/>
    <w:qFormat/>
    <w:rsid w:val="00210101"/>
    <w:pPr>
      <w:numPr>
        <w:ilvl w:val="1"/>
        <w:numId w:val="1"/>
      </w:numPr>
      <w:ind w:left="431" w:hanging="431"/>
    </w:pPr>
    <w:rPr>
      <w:i/>
      <w:szCs w:val="22"/>
    </w:rPr>
  </w:style>
  <w:style w:type="paragraph" w:customStyle="1" w:styleId="IAHRindenttext">
    <w:name w:val="IAHR_indent_text"/>
    <w:basedOn w:val="SHIndenttext"/>
    <w:autoRedefine/>
    <w:qFormat/>
    <w:rsid w:val="00210101"/>
    <w:pPr>
      <w:ind w:left="792" w:firstLine="0"/>
    </w:pPr>
    <w:rPr>
      <w:szCs w:val="22"/>
    </w:rPr>
  </w:style>
  <w:style w:type="paragraph" w:customStyle="1" w:styleId="IAHRtableno">
    <w:name w:val="IAHR_table_no"/>
    <w:basedOn w:val="SHTableno"/>
    <w:autoRedefine/>
    <w:qFormat/>
    <w:rsid w:val="00EF044F"/>
    <w:pPr>
      <w:spacing w:before="0"/>
    </w:pPr>
    <w:rPr>
      <w:sz w:val="18"/>
      <w:szCs w:val="18"/>
    </w:rPr>
  </w:style>
  <w:style w:type="paragraph" w:customStyle="1" w:styleId="Styl2">
    <w:name w:val="Styl2"/>
    <w:basedOn w:val="IAHRtableno"/>
    <w:qFormat/>
    <w:rsid w:val="00AC1045"/>
  </w:style>
  <w:style w:type="paragraph" w:customStyle="1" w:styleId="IAHRtabletitle">
    <w:name w:val="IAHR_table_title"/>
    <w:basedOn w:val="Styl2"/>
    <w:autoRedefine/>
    <w:qFormat/>
    <w:rsid w:val="001455B5"/>
    <w:pPr>
      <w:tabs>
        <w:tab w:val="left" w:pos="5670"/>
      </w:tabs>
      <w:spacing w:before="120" w:after="120"/>
    </w:pPr>
  </w:style>
  <w:style w:type="paragraph" w:customStyle="1" w:styleId="IAHRtabletext">
    <w:name w:val="IAHR_table_text"/>
    <w:basedOn w:val="SHTabletext"/>
    <w:autoRedefine/>
    <w:qFormat/>
    <w:rsid w:val="003307B6"/>
    <w:rPr>
      <w:sz w:val="18"/>
      <w:szCs w:val="18"/>
    </w:rPr>
  </w:style>
  <w:style w:type="paragraph" w:customStyle="1" w:styleId="IAHRreferences">
    <w:name w:val="IAHR_references"/>
    <w:basedOn w:val="IAHRtext"/>
    <w:autoRedefine/>
    <w:qFormat/>
    <w:rsid w:val="00A57BAC"/>
    <w:pPr>
      <w:spacing w:before="0"/>
      <w:contextualSpacing/>
    </w:pPr>
    <w:rPr>
      <w:rFonts w:cs="Arial"/>
      <w:sz w:val="20"/>
      <w:szCs w:val="20"/>
      <w:shd w:val="clear" w:color="auto" w:fill="FFFFFF"/>
    </w:rPr>
  </w:style>
  <w:style w:type="paragraph" w:customStyle="1" w:styleId="Styl3">
    <w:name w:val="Styl3"/>
    <w:basedOn w:val="IAHRreferences"/>
    <w:qFormat/>
    <w:rsid w:val="00FA1EE9"/>
    <w:rPr>
      <w:i/>
    </w:rPr>
  </w:style>
  <w:style w:type="paragraph" w:customStyle="1" w:styleId="Styl4">
    <w:name w:val="Styl4"/>
    <w:basedOn w:val="SHTableno"/>
    <w:qFormat/>
    <w:rsid w:val="001E674F"/>
  </w:style>
  <w:style w:type="paragraph" w:customStyle="1" w:styleId="IAHRfigure">
    <w:name w:val="IAHR_figure"/>
    <w:basedOn w:val="IAHRtext"/>
    <w:qFormat/>
    <w:rsid w:val="00A71EEA"/>
    <w:pPr>
      <w:jc w:val="center"/>
    </w:pPr>
    <w:rPr>
      <w:noProof/>
    </w:rPr>
  </w:style>
  <w:style w:type="paragraph" w:customStyle="1" w:styleId="IAHRackntitle">
    <w:name w:val="IAHR_ackn_title"/>
    <w:basedOn w:val="IAHRtext"/>
    <w:qFormat/>
    <w:rsid w:val="0002663F"/>
    <w:pPr>
      <w:jc w:val="left"/>
    </w:pPr>
    <w:rPr>
      <w:b/>
    </w:rPr>
  </w:style>
  <w:style w:type="paragraph" w:customStyle="1" w:styleId="IAHRackntext">
    <w:name w:val="IAHR_ackn_text"/>
    <w:basedOn w:val="IAHRtext"/>
    <w:qFormat/>
    <w:rsid w:val="0002663F"/>
  </w:style>
  <w:style w:type="paragraph" w:customStyle="1" w:styleId="IAHRreferencestitle">
    <w:name w:val="IAHR_references_title"/>
    <w:basedOn w:val="IAHRreferences"/>
    <w:next w:val="IAHRreferences"/>
    <w:autoRedefine/>
    <w:qFormat/>
    <w:rsid w:val="003E635E"/>
    <w:pPr>
      <w:spacing w:before="120" w:after="120"/>
      <w:jc w:val="left"/>
    </w:pPr>
    <w:rPr>
      <w:b/>
      <w:szCs w:val="28"/>
    </w:rPr>
  </w:style>
  <w:style w:type="paragraph" w:customStyle="1" w:styleId="p1a">
    <w:name w:val="p1a"/>
    <w:basedOn w:val="Normal"/>
    <w:next w:val="Normal"/>
    <w:rsid w:val="00BA6B56"/>
    <w:pPr>
      <w:overflowPunct w:val="0"/>
      <w:autoSpaceDE w:val="0"/>
      <w:autoSpaceDN w:val="0"/>
      <w:adjustRightInd w:val="0"/>
      <w:spacing w:after="0" w:line="240" w:lineRule="atLeast"/>
      <w:jc w:val="both"/>
      <w:textAlignment w:val="baseline"/>
    </w:pPr>
    <w:rPr>
      <w:rFonts w:ascii="Times" w:eastAsia="Times New Roman" w:hAnsi="Times" w:cs="Times New Roman"/>
      <w:sz w:val="20"/>
      <w:szCs w:val="20"/>
      <w:lang w:val="en-US" w:eastAsia="de-DE"/>
    </w:rPr>
  </w:style>
  <w:style w:type="paragraph" w:styleId="TDC3">
    <w:name w:val="toc 3"/>
    <w:basedOn w:val="TDC1"/>
    <w:semiHidden/>
    <w:rsid w:val="00BA6B56"/>
    <w:pPr>
      <w:tabs>
        <w:tab w:val="right" w:leader="dot" w:pos="6634"/>
      </w:tabs>
      <w:overflowPunct w:val="0"/>
      <w:autoSpaceDE w:val="0"/>
      <w:autoSpaceDN w:val="0"/>
      <w:adjustRightInd w:val="0"/>
      <w:spacing w:after="0" w:line="240" w:lineRule="atLeast"/>
      <w:ind w:left="510"/>
      <w:textAlignment w:val="baseline"/>
    </w:pPr>
    <w:rPr>
      <w:rFonts w:ascii="Times" w:eastAsia="Times New Roman" w:hAnsi="Times" w:cs="Times New Roman"/>
      <w:sz w:val="20"/>
      <w:szCs w:val="20"/>
      <w:lang w:val="en-US" w:eastAsia="de-DE"/>
    </w:rPr>
  </w:style>
  <w:style w:type="paragraph" w:styleId="TDC1">
    <w:name w:val="toc 1"/>
    <w:basedOn w:val="Normal"/>
    <w:next w:val="Normal"/>
    <w:autoRedefine/>
    <w:uiPriority w:val="39"/>
    <w:semiHidden/>
    <w:unhideWhenUsed/>
    <w:rsid w:val="00BA6B56"/>
    <w:pPr>
      <w:spacing w:after="100"/>
    </w:pPr>
  </w:style>
  <w:style w:type="paragraph" w:customStyle="1" w:styleId="BulletItem">
    <w:name w:val="Bullet Item"/>
    <w:basedOn w:val="Normal"/>
    <w:rsid w:val="00360073"/>
    <w:pPr>
      <w:numPr>
        <w:numId w:val="2"/>
      </w:numPr>
      <w:overflowPunct w:val="0"/>
      <w:autoSpaceDE w:val="0"/>
      <w:autoSpaceDN w:val="0"/>
      <w:adjustRightInd w:val="0"/>
      <w:spacing w:before="120" w:after="120" w:line="240" w:lineRule="atLeast"/>
      <w:contextualSpacing/>
      <w:jc w:val="both"/>
      <w:textAlignment w:val="baseline"/>
    </w:pPr>
    <w:rPr>
      <w:rFonts w:ascii="Times" w:eastAsia="Times New Roman" w:hAnsi="Times" w:cs="Times New Roman"/>
      <w:sz w:val="20"/>
      <w:szCs w:val="20"/>
      <w:lang w:val="en-US" w:eastAsia="de-DE"/>
    </w:rPr>
  </w:style>
  <w:style w:type="character" w:styleId="Refdecomentario">
    <w:name w:val="annotation reference"/>
    <w:basedOn w:val="Fuentedeprrafopredeter"/>
    <w:uiPriority w:val="99"/>
    <w:semiHidden/>
    <w:unhideWhenUsed/>
    <w:rsid w:val="009A5AD4"/>
    <w:rPr>
      <w:sz w:val="16"/>
      <w:szCs w:val="16"/>
    </w:rPr>
  </w:style>
  <w:style w:type="paragraph" w:styleId="Textocomentario">
    <w:name w:val="annotation text"/>
    <w:basedOn w:val="Normal"/>
    <w:link w:val="TextocomentarioCar"/>
    <w:uiPriority w:val="99"/>
    <w:unhideWhenUsed/>
    <w:rsid w:val="009A5AD4"/>
    <w:pPr>
      <w:spacing w:line="240" w:lineRule="auto"/>
    </w:pPr>
    <w:rPr>
      <w:sz w:val="20"/>
      <w:szCs w:val="20"/>
    </w:rPr>
  </w:style>
  <w:style w:type="character" w:customStyle="1" w:styleId="TextocomentarioCar">
    <w:name w:val="Texto comentario Car"/>
    <w:basedOn w:val="Fuentedeprrafopredeter"/>
    <w:link w:val="Textocomentario"/>
    <w:uiPriority w:val="99"/>
    <w:rsid w:val="009A5AD4"/>
    <w:rPr>
      <w:sz w:val="20"/>
      <w:szCs w:val="20"/>
    </w:rPr>
  </w:style>
  <w:style w:type="paragraph" w:styleId="Asuntodelcomentario">
    <w:name w:val="annotation subject"/>
    <w:basedOn w:val="Textocomentario"/>
    <w:next w:val="Textocomentario"/>
    <w:link w:val="AsuntodelcomentarioCar"/>
    <w:uiPriority w:val="99"/>
    <w:semiHidden/>
    <w:unhideWhenUsed/>
    <w:rsid w:val="009A5AD4"/>
    <w:rPr>
      <w:b/>
      <w:bCs/>
    </w:rPr>
  </w:style>
  <w:style w:type="character" w:customStyle="1" w:styleId="AsuntodelcomentarioCar">
    <w:name w:val="Asunto del comentario Car"/>
    <w:basedOn w:val="TextocomentarioCar"/>
    <w:link w:val="Asuntodelcomentario"/>
    <w:uiPriority w:val="99"/>
    <w:semiHidden/>
    <w:rsid w:val="009A5AD4"/>
    <w:rPr>
      <w:b/>
      <w:bCs/>
      <w:sz w:val="20"/>
      <w:szCs w:val="20"/>
    </w:rPr>
  </w:style>
  <w:style w:type="paragraph" w:styleId="Descripcin">
    <w:name w:val="caption"/>
    <w:basedOn w:val="Normal"/>
    <w:next w:val="Normal"/>
    <w:uiPriority w:val="35"/>
    <w:unhideWhenUsed/>
    <w:qFormat/>
    <w:rsid w:val="00380D2E"/>
    <w:pPr>
      <w:spacing w:after="200" w:line="240" w:lineRule="auto"/>
    </w:pPr>
    <w:rPr>
      <w:i/>
      <w:iCs/>
      <w:color w:val="44546A" w:themeColor="text2"/>
      <w:sz w:val="18"/>
      <w:szCs w:val="18"/>
    </w:rPr>
  </w:style>
  <w:style w:type="paragraph" w:styleId="Revisin">
    <w:name w:val="Revision"/>
    <w:hidden/>
    <w:uiPriority w:val="99"/>
    <w:semiHidden/>
    <w:rsid w:val="002838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vilaseca@fing.edu.uy"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9</Pages>
  <Words>3442</Words>
  <Characters>19626</Characters>
  <Application>Microsoft Office Word</Application>
  <DocSecurity>0</DocSecurity>
  <Lines>163</Lines>
  <Paragraphs>46</Paragraphs>
  <ScaleCrop>false</ScaleCrop>
  <HeadingPairs>
    <vt:vector size="6" baseType="variant">
      <vt:variant>
        <vt:lpstr>Title</vt:lpstr>
      </vt:variant>
      <vt:variant>
        <vt:i4>1</vt:i4>
      </vt:variant>
      <vt:variant>
        <vt:lpstr>Título</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23022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Kalinowska</dc:creator>
  <cp:keywords/>
  <dc:description/>
  <cp:lastModifiedBy>Federico Vilaseca</cp:lastModifiedBy>
  <cp:revision>84</cp:revision>
  <cp:lastPrinted>2019-11-08T13:43:00Z</cp:lastPrinted>
  <dcterms:created xsi:type="dcterms:W3CDTF">2024-04-15T13:24:00Z</dcterms:created>
  <dcterms:modified xsi:type="dcterms:W3CDTF">2024-04-15T17:51:00Z</dcterms:modified>
</cp:coreProperties>
</file>