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821D9" w14:textId="542B49CE" w:rsidR="00025D1B" w:rsidRPr="00A259A4" w:rsidRDefault="00390835" w:rsidP="00390835">
      <w:pPr>
        <w:pStyle w:val="IAHRheader"/>
        <w:jc w:val="left"/>
      </w:pPr>
      <w:r>
        <w:rPr>
          <w:noProof/>
        </w:rPr>
        <w:drawing>
          <wp:inline distT="0" distB="0" distL="0" distR="0" wp14:anchorId="11EAB788" wp14:editId="7FF8FA6E">
            <wp:extent cx="2000250" cy="857250"/>
            <wp:effectExtent l="0" t="0" r="0" b="0"/>
            <wp:docPr id="1066724325" name="Picture 1" descr="A picture containing graphics, graphic design, fon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24325" name="Picture 1" descr="A picture containing graphics, graphic design, font, colorfulness&#10;&#10;Description automatically generated"/>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2000250" cy="857250"/>
                    </a:xfrm>
                    <a:prstGeom prst="rect">
                      <a:avLst/>
                    </a:prstGeom>
                    <a:noFill/>
                    <a:ln>
                      <a:noFill/>
                    </a:ln>
                  </pic:spPr>
                </pic:pic>
              </a:graphicData>
            </a:graphic>
          </wp:inline>
        </w:drawing>
      </w:r>
      <w:r w:rsidRPr="000302E3">
        <w:t xml:space="preserve"> </w:t>
      </w:r>
    </w:p>
    <w:p w14:paraId="6EA7420B" w14:textId="717441C7" w:rsidR="00025D1B" w:rsidRPr="00A259A4" w:rsidRDefault="000845EE" w:rsidP="004D087A">
      <w:pPr>
        <w:pStyle w:val="IAHRtitle"/>
      </w:pPr>
      <w:r>
        <w:t>T</w:t>
      </w:r>
      <w:r w:rsidRPr="000845EE">
        <w:t xml:space="preserve">he impact of human activities </w:t>
      </w:r>
      <w:r>
        <w:t>on</w:t>
      </w:r>
      <w:r w:rsidRPr="000845EE">
        <w:t xml:space="preserve"> </w:t>
      </w:r>
      <w:r>
        <w:t xml:space="preserve">the </w:t>
      </w:r>
      <w:r w:rsidRPr="000845EE">
        <w:t xml:space="preserve">flood </w:t>
      </w:r>
      <w:r>
        <w:t>risk</w:t>
      </w:r>
    </w:p>
    <w:p w14:paraId="2CD26162" w14:textId="27D82246" w:rsidR="000845EE" w:rsidRPr="00D31DEC" w:rsidRDefault="000845EE" w:rsidP="000845EE">
      <w:pPr>
        <w:pStyle w:val="IAHRauthor"/>
      </w:pPr>
      <w:r w:rsidRPr="00D31DEC">
        <w:t xml:space="preserve">Gašper </w:t>
      </w:r>
      <w:r>
        <w:t>RAK</w:t>
      </w:r>
      <w:r w:rsidRPr="00D31DEC">
        <w:rPr>
          <w:vertAlign w:val="superscript"/>
        </w:rPr>
        <w:t>1</w:t>
      </w:r>
      <w:r>
        <w:t xml:space="preserve"> </w:t>
      </w:r>
      <w:r w:rsidRPr="00D31DEC">
        <w:t>and</w:t>
      </w:r>
      <w:r>
        <w:t xml:space="preserve"> Mateja ŠKERJANEC</w:t>
      </w:r>
      <w:r>
        <w:rPr>
          <w:vertAlign w:val="superscript"/>
        </w:rPr>
        <w:t>1</w:t>
      </w:r>
    </w:p>
    <w:p w14:paraId="1DEEB91B" w14:textId="77777777" w:rsidR="000845EE" w:rsidRPr="00D31DEC" w:rsidRDefault="000845EE" w:rsidP="000845EE">
      <w:pPr>
        <w:pStyle w:val="IAHRaffiliation"/>
        <w:spacing w:before="120"/>
      </w:pPr>
      <w:r w:rsidRPr="00D31DEC">
        <w:rPr>
          <w:vertAlign w:val="superscript"/>
        </w:rPr>
        <w:t>1</w:t>
      </w:r>
      <w:r w:rsidRPr="00D31DEC">
        <w:t xml:space="preserve"> University of Ljubljana, Faculty of Civil and Geodetic Engineering, Slovenia</w:t>
      </w:r>
    </w:p>
    <w:p w14:paraId="2C9DBD58" w14:textId="77777777" w:rsidR="00622020" w:rsidRDefault="000845EE" w:rsidP="00D52105">
      <w:pPr>
        <w:pStyle w:val="IAHRaddress"/>
        <w:spacing w:after="0"/>
      </w:pPr>
      <w:r w:rsidRPr="00D31DEC">
        <w:t xml:space="preserve">email: </w:t>
      </w:r>
      <w:hyperlink r:id="rId6" w:history="1">
        <w:r w:rsidRPr="00D31DEC">
          <w:rPr>
            <w:rStyle w:val="Hyperlink"/>
          </w:rPr>
          <w:t>gasper.rak@fgg.uni-lj.si</w:t>
        </w:r>
      </w:hyperlink>
      <w:r>
        <w:t xml:space="preserve">, </w:t>
      </w:r>
    </w:p>
    <w:p w14:paraId="22540F18" w14:textId="10AF4CA8" w:rsidR="000845EE" w:rsidRPr="00D31DEC" w:rsidRDefault="00622020" w:rsidP="00D52105">
      <w:pPr>
        <w:pStyle w:val="IAHRaddress"/>
        <w:spacing w:after="0"/>
      </w:pPr>
      <w:r w:rsidRPr="00D31DEC">
        <w:t xml:space="preserve">email: </w:t>
      </w:r>
      <w:hyperlink r:id="rId7" w:history="1">
        <w:r w:rsidRPr="00670BA5">
          <w:rPr>
            <w:rStyle w:val="Hyperlink"/>
          </w:rPr>
          <w:t>mateja.skerjanec@fgg.uni-lj.si</w:t>
        </w:r>
      </w:hyperlink>
      <w:r w:rsidR="000845EE" w:rsidRPr="00D31DEC">
        <w:t xml:space="preserve"> </w:t>
      </w:r>
    </w:p>
    <w:p w14:paraId="1C4A2CB5" w14:textId="0DD3CA36" w:rsidR="00025D1B" w:rsidRPr="0018149D" w:rsidRDefault="000845EE" w:rsidP="000845EE">
      <w:pPr>
        <w:pStyle w:val="IAHRabstract"/>
      </w:pPr>
      <w:r w:rsidRPr="00D31DEC">
        <w:t>Abstract</w:t>
      </w:r>
    </w:p>
    <w:p w14:paraId="246AB4DC" w14:textId="4AAF60A0" w:rsidR="00025D1B" w:rsidRDefault="00D52105" w:rsidP="00DC554A">
      <w:pPr>
        <w:pStyle w:val="IAHRtext"/>
        <w:rPr>
          <w:lang w:val="en-GB"/>
        </w:rPr>
      </w:pPr>
      <w:r w:rsidRPr="00D52105">
        <w:t>The increasing frequency of floods, combined with the increasing encroachment of water corridors and floodplains by humans, is turning floods into major disasters. In 2007, the European Union adopted the Floods Directive, which serves as a guideline for member states when legislating on the designation of flood hazard and risk areas. Despite the considerable human influence, current flood hazard mapping often neglects scenarios of extreme events. Stochastic land use changes caused by economic and social interests should be taken into account. Mitigation measures such as dams and levees, which are intended to reduce flood risk, can change the flow regime and shift the risk to downstream areas. The construction of dykes alters the retention capacity of floodplains and influences the attenuation of flood peaks and the propagation time. This article introduces the analysis of exceptional events in the assessment of flood hazards and risks with examples of man-made extreme flood events using detailed hydraulic modelling</w:t>
      </w:r>
      <w:r w:rsidR="009635D5" w:rsidRPr="009635D5">
        <w:t>.</w:t>
      </w:r>
    </w:p>
    <w:p w14:paraId="644B5EBF" w14:textId="65A7A83A" w:rsidR="00BA6B56" w:rsidRPr="008D51BC" w:rsidRDefault="000845EE" w:rsidP="00BA6B56">
      <w:pPr>
        <w:pStyle w:val="IAHRheading1"/>
      </w:pPr>
      <w:r>
        <w:t>Introduction</w:t>
      </w:r>
    </w:p>
    <w:p w14:paraId="3A7EA42C" w14:textId="69DD2300" w:rsidR="00BA6B56" w:rsidRDefault="000845EE" w:rsidP="00BA6B56">
      <w:pPr>
        <w:pStyle w:val="IAHRtext"/>
      </w:pPr>
      <w:r w:rsidRPr="000845EE">
        <w:t>To enhance flood risk management and spatial planning aimed at reducing vulnerability through preventive measures, the European Parliament and Council of the European Union enacted the Flood Directive in 2007. Slovenia established detailed regulations, including the Rules on flood hazard determination and land classification</w:t>
      </w:r>
      <w:r w:rsidR="00A31D56">
        <w:t xml:space="preserve"> (</w:t>
      </w:r>
      <w:r w:rsidR="00A31D56" w:rsidRPr="00A31D56">
        <w:t>Ministry of the Environment and Spatial Planning, 2007</w:t>
      </w:r>
      <w:r w:rsidR="00A31D56">
        <w:t>)</w:t>
      </w:r>
      <w:r w:rsidRPr="000845EE">
        <w:t xml:space="preserve">, and the </w:t>
      </w:r>
      <w:r w:rsidR="00002F4D" w:rsidRPr="00002F4D">
        <w:t>Decree on conditions and restrictions for the implementation of activities and spatial interventions in areas endangered by floods and related erosion of inland waters and the sea</w:t>
      </w:r>
      <w:r w:rsidR="00002F4D">
        <w:t xml:space="preserve"> (</w:t>
      </w:r>
      <w:r w:rsidR="00002F4D" w:rsidRPr="00A31D56">
        <w:t>Ministry of the Environment and Spatial Planning, 200</w:t>
      </w:r>
      <w:r w:rsidR="00002F4D">
        <w:t>8).</w:t>
      </w:r>
    </w:p>
    <w:p w14:paraId="4690811A" w14:textId="2035608A" w:rsidR="000845EE" w:rsidRDefault="000845EE" w:rsidP="00BA6B56">
      <w:pPr>
        <w:pStyle w:val="IAHRtext"/>
      </w:pPr>
      <w:r w:rsidRPr="000845EE">
        <w:t>While climate change is a topic of discussion, the primary factor increasing risk is human intervention in vulnerable areas. Factors include intensive land use, economic development in flood-prone zones, reduced retention areas, minimal flood protection measures, and inadequate maintenance. Structural measures, like flood protection, have limited functionality, and their effectiveness diminishes in catastrophic events</w:t>
      </w:r>
      <w:r w:rsidR="00A31D56">
        <w:t xml:space="preserve"> (Rak et al., 2018)</w:t>
      </w:r>
      <w:r w:rsidRPr="000845EE">
        <w:t>. Flood protection measures are designed based on the "design discharge," making protected areas attractive for intensive land use, potentially increasing damage potential during floods</w:t>
      </w:r>
      <w:r w:rsidR="00476384">
        <w:t xml:space="preserve"> (Loat, 2003)</w:t>
      </w:r>
      <w:r w:rsidRPr="000845EE">
        <w:t>.</w:t>
      </w:r>
    </w:p>
    <w:p w14:paraId="697B4DC0" w14:textId="26481FB0" w:rsidR="00AB2406" w:rsidRDefault="000845EE" w:rsidP="00BA6B56">
      <w:pPr>
        <w:pStyle w:val="IAHRtext"/>
      </w:pPr>
      <w:r w:rsidRPr="000845EE">
        <w:t>Flood risk analysis often overlooks extraordinary events such as breach</w:t>
      </w:r>
      <w:r w:rsidR="00622020">
        <w:t>ing</w:t>
      </w:r>
      <w:r w:rsidRPr="000845EE">
        <w:t xml:space="preserve"> in flood protection, incorrect operation of hydro-mechanical equipment, and inadequate maintenance, leading to adverse anthropogenic effects</w:t>
      </w:r>
      <w:r w:rsidR="00A31D56">
        <w:t xml:space="preserve"> (Šantl and Rak, 2010)</w:t>
      </w:r>
      <w:r w:rsidRPr="000845EE">
        <w:t xml:space="preserve">. Uncontrolled land use changes in retention areas alter runoff regimes, affecting the effectiveness of interventions and spatial planning. The paper provides two examples of anthropogenic impact on flood hazard: </w:t>
      </w:r>
    </w:p>
    <w:p w14:paraId="1752A55A" w14:textId="34EF48B9" w:rsidR="00AB2406" w:rsidRDefault="00AB2406" w:rsidP="00AB2406">
      <w:pPr>
        <w:pStyle w:val="IAHRtext"/>
        <w:numPr>
          <w:ilvl w:val="0"/>
          <w:numId w:val="3"/>
        </w:numPr>
      </w:pPr>
      <w:r>
        <w:t>The impact of uncontrolled land use during the lifetime of the infrastructure on runoff regime and</w:t>
      </w:r>
    </w:p>
    <w:p w14:paraId="7BCD8184" w14:textId="5AC5B799" w:rsidR="000845EE" w:rsidRDefault="00AB2406" w:rsidP="00AB2406">
      <w:pPr>
        <w:pStyle w:val="IAHRtext"/>
        <w:numPr>
          <w:ilvl w:val="0"/>
          <w:numId w:val="3"/>
        </w:numPr>
      </w:pPr>
      <w:r>
        <w:t>The consequences of sudden or progressive failure of flood protection embankments during high-water events</w:t>
      </w:r>
      <w:r w:rsidR="000845EE" w:rsidRPr="000845EE">
        <w:t>.</w:t>
      </w:r>
    </w:p>
    <w:p w14:paraId="3856889A" w14:textId="5681A707" w:rsidR="00B5356E" w:rsidRPr="008D51BC" w:rsidRDefault="00B5356E" w:rsidP="00B5356E">
      <w:pPr>
        <w:pStyle w:val="IAHRheading1"/>
      </w:pPr>
      <w:r>
        <w:t>L</w:t>
      </w:r>
      <w:r w:rsidRPr="00B5356E">
        <w:t>and use in riparian areas</w:t>
      </w:r>
    </w:p>
    <w:p w14:paraId="380F397A" w14:textId="4B6E476D" w:rsidR="00B5356E" w:rsidRDefault="00B5356E" w:rsidP="00B5356E">
      <w:pPr>
        <w:pStyle w:val="IAHRtext"/>
      </w:pPr>
      <w:r>
        <w:t xml:space="preserve">Riparian areas and floodplains, especially in flatland regions, offer significant development potential. However, these areas, with their retention capacity, play a crucial role in </w:t>
      </w:r>
      <w:r w:rsidR="007666BA">
        <w:t>forming</w:t>
      </w:r>
      <w:r>
        <w:t xml:space="preserve"> the runoff regime, attenuating flood waves, prolonging propagation times, and thereby reducing flood risk downstream. Given the inherent </w:t>
      </w:r>
      <w:r>
        <w:lastRenderedPageBreak/>
        <w:t xml:space="preserve">conflicts of interest in spatial planning, building placement, and long-term land use, a judicious strategy for spatial development and intervention planning in riparian areas is </w:t>
      </w:r>
      <w:r w:rsidR="007666BA">
        <w:t>needed</w:t>
      </w:r>
      <w:r w:rsidR="00A31D56">
        <w:t xml:space="preserve"> (Rak, 2013; Rak et al., 2016)</w:t>
      </w:r>
      <w:r>
        <w:t>.</w:t>
      </w:r>
    </w:p>
    <w:p w14:paraId="60B70586" w14:textId="73C918CD" w:rsidR="00C2447A" w:rsidRDefault="00C2447A" w:rsidP="00B5356E">
      <w:pPr>
        <w:pStyle w:val="IAHRtext"/>
      </w:pPr>
      <w:r w:rsidRPr="00C2447A">
        <w:t xml:space="preserve">For the extensive floodplains of the </w:t>
      </w:r>
      <w:proofErr w:type="spellStart"/>
      <w:r w:rsidRPr="00C2447A">
        <w:t>Krško-Brežiško</w:t>
      </w:r>
      <w:proofErr w:type="spellEnd"/>
      <w:r w:rsidRPr="00C2447A">
        <w:t xml:space="preserve"> polje, the influence of land use changes in riparian areas as a result of "unintended" anthropogenic influences was investigated – </w:t>
      </w:r>
      <w:r w:rsidR="00AB2406" w:rsidRPr="00C2447A">
        <w:t>e.g.,</w:t>
      </w:r>
      <w:r w:rsidRPr="00C2447A">
        <w:t xml:space="preserve"> a gradual afforestation of retention areas due to the abandonment of agricultural activities and, conversely, an expansion of agricultural areas into forest areas. The </w:t>
      </w:r>
      <w:proofErr w:type="spellStart"/>
      <w:r w:rsidRPr="00C2447A">
        <w:t>Krško-Brežiško</w:t>
      </w:r>
      <w:proofErr w:type="spellEnd"/>
      <w:r w:rsidRPr="00C2447A">
        <w:t xml:space="preserve"> polje floodplain has a significant retention capacity and influence on the runoff regime. Based on selected indicators such as the attenuation of the flood peak, the propagation time over the studied area, the extent of the floodplain and the distribution of water depths and velocities, etc., it is possible to </w:t>
      </w:r>
      <w:proofErr w:type="spellStart"/>
      <w:r w:rsidRPr="00C2447A">
        <w:t>analyse</w:t>
      </w:r>
      <w:proofErr w:type="spellEnd"/>
      <w:r w:rsidRPr="00C2447A">
        <w:t xml:space="preserve"> and show the response of the runoff regime to the processes of spatial changes in the area. Fig. 1 shows four scenarios of afforestation and deforestation in which the proportion of land with forest and agricultural use changes </w:t>
      </w:r>
      <w:r w:rsidR="00622020" w:rsidRPr="00C2447A">
        <w:t xml:space="preserve">within the </w:t>
      </w:r>
      <w:r w:rsidR="00622020">
        <w:t>extent of flood-prone areas for an event</w:t>
      </w:r>
      <w:r w:rsidR="00622020" w:rsidRPr="00C2447A">
        <w:t xml:space="preserve"> </w:t>
      </w:r>
      <w:r w:rsidRPr="00C2447A">
        <w:t xml:space="preserve">with a return period of 100 years. As the distribution of land use in the analysis was mainly linked to the parcel boundaries, the connections between </w:t>
      </w:r>
      <w:proofErr w:type="spellStart"/>
      <w:r w:rsidRPr="00C2447A">
        <w:t>neighbouring</w:t>
      </w:r>
      <w:proofErr w:type="spellEnd"/>
      <w:r w:rsidRPr="00C2447A">
        <w:t xml:space="preserve"> parcels were also taken into account in the gradual change in land use.</w:t>
      </w:r>
    </w:p>
    <w:p w14:paraId="66F11465" w14:textId="57C43984" w:rsidR="00C2447A" w:rsidRDefault="00C2447A" w:rsidP="00C2447A">
      <w:pPr>
        <w:pStyle w:val="IAHRtext"/>
        <w:jc w:val="center"/>
      </w:pPr>
      <w:r w:rsidRPr="008E63FD">
        <w:rPr>
          <w:noProof/>
          <w:lang w:val="en-GB" w:eastAsia="sl-SI"/>
        </w:rPr>
        <w:drawing>
          <wp:inline distT="0" distB="0" distL="0" distR="0" wp14:anchorId="0CEA295B" wp14:editId="0E414009">
            <wp:extent cx="4408227" cy="33667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7.emf"/>
                    <pic:cNvPicPr/>
                  </pic:nvPicPr>
                  <pic:blipFill>
                    <a:blip r:embed="rId8" cstate="screen">
                      <a:extLst>
                        <a:ext uri="{28A0092B-C50C-407E-A947-70E740481C1C}">
                          <a14:useLocalDpi xmlns:a14="http://schemas.microsoft.com/office/drawing/2010/main"/>
                        </a:ext>
                      </a:extLst>
                    </a:blip>
                    <a:stretch>
                      <a:fillRect/>
                    </a:stretch>
                  </pic:blipFill>
                  <pic:spPr>
                    <a:xfrm>
                      <a:off x="0" y="0"/>
                      <a:ext cx="4410710" cy="3368690"/>
                    </a:xfrm>
                    <a:prstGeom prst="rect">
                      <a:avLst/>
                    </a:prstGeom>
                  </pic:spPr>
                </pic:pic>
              </a:graphicData>
            </a:graphic>
          </wp:inline>
        </w:drawing>
      </w:r>
    </w:p>
    <w:p w14:paraId="788D6B3F" w14:textId="42F18821" w:rsidR="00C2447A" w:rsidRPr="005E5961" w:rsidRDefault="00C2447A" w:rsidP="00C2447A">
      <w:pPr>
        <w:pStyle w:val="IAHRfigurecaptio"/>
      </w:pPr>
      <w:r w:rsidRPr="000A597B">
        <w:rPr>
          <w:b/>
        </w:rPr>
        <w:t xml:space="preserve">Fig. </w:t>
      </w:r>
      <w:r>
        <w:rPr>
          <w:b/>
        </w:rPr>
        <w:t>1</w:t>
      </w:r>
      <w:r w:rsidRPr="000A597B">
        <w:rPr>
          <w:b/>
        </w:rPr>
        <w:t>.</w:t>
      </w:r>
      <w:r w:rsidRPr="000A597B">
        <w:t xml:space="preserve"> </w:t>
      </w:r>
      <w:r w:rsidRPr="00C2447A">
        <w:t>Examples of different proportions of specific land use areas considered in calculations</w:t>
      </w:r>
      <w:r w:rsidRPr="003B1FB3">
        <w:t>.</w:t>
      </w:r>
    </w:p>
    <w:p w14:paraId="7AD7D46B" w14:textId="7CF58890" w:rsidR="00612FEB" w:rsidRDefault="00612FEB" w:rsidP="00612FEB">
      <w:pPr>
        <w:pStyle w:val="IAHRtext"/>
      </w:pPr>
      <w:r>
        <w:t xml:space="preserve">Accurate data on water depth and velocity are crucial for assessing the severity of flood events, as the force of water directly threatens vulnerable inhabitants and structures. For instance, an object may withstand a certain depth and velocity of water, but greater depths or velocities can endanger human lives or compromise structural stability. Changes in land use proportions affect the hydraulic response of flooded areas, altering the extent and spatial distribution of flooding and thus influencing flood hazard classifications according to </w:t>
      </w:r>
      <w:r w:rsidR="00622020">
        <w:t>standards in flood hazard mapping</w:t>
      </w:r>
      <w:r>
        <w:t xml:space="preserve"> (Šantl and Rak, 2010), as mandated by legislation (</w:t>
      </w:r>
      <w:r w:rsidR="00622020" w:rsidRPr="00A31D56">
        <w:t>Ministry of the Environment and Spatial Planning</w:t>
      </w:r>
      <w:r>
        <w:t>, 2007). While interventions in flood-endangered areas are partly regulated by legislation (</w:t>
      </w:r>
      <w:r w:rsidR="00622020" w:rsidRPr="00A31D56">
        <w:t>Ministry of the Environment and Spatial Planning</w:t>
      </w:r>
      <w:r>
        <w:t>, 2008) based on Construction Classification Types (CC-SI) and permissible activities, understanding flood hazard changes due to all land use alterations, such as afforestation, across affected inundated areas is crucial for all stakeholders.</w:t>
      </w:r>
    </w:p>
    <w:p w14:paraId="24849998" w14:textId="0D09383D" w:rsidR="00612FEB" w:rsidRDefault="00612FEB" w:rsidP="00612FEB">
      <w:pPr>
        <w:pStyle w:val="IAHRtext"/>
      </w:pPr>
      <w:r>
        <w:t xml:space="preserve">Analysis reveals that expanding forested areas positively </w:t>
      </w:r>
      <w:r w:rsidR="00002F4D">
        <w:t>impacts</w:t>
      </w:r>
      <w:r>
        <w:t xml:space="preserve"> flood hazard assessments by mitigating water momentum. Afforestation increases both the overall flooded area and the area with significant water depths (exceeding 1.5 meters), while rapidly reducing water velocity. Areas with water velocities surpassing 1 m/s face stricter regulations. However, it's important to note that depth criteria typically dominate flood hazard assessments in flatland inundations. Increasing agricultural areas or areas with lower roughness elevates water velocities but reduces flood extents. Downstream, peak flood wave discharge increases while propagation time decreases. Generally, indicators show opposing trends between afforestation and deforestation. Changes in indicator values, both absolute and relative, decrease with longer flood wave lengths and peak discharges (Rak et al., 2016). Fig</w:t>
      </w:r>
      <w:r w:rsidR="00663400">
        <w:t>.</w:t>
      </w:r>
      <w:r>
        <w:t xml:space="preserve"> 2 illustrates spatial variations in water depth and velocity corresponding to different land use distributions.</w:t>
      </w:r>
    </w:p>
    <w:p w14:paraId="0351A107" w14:textId="1EE0EE0E" w:rsidR="00722A8B" w:rsidRDefault="00722A8B" w:rsidP="00722A8B">
      <w:pPr>
        <w:pStyle w:val="IAHRtext"/>
        <w:jc w:val="center"/>
      </w:pPr>
      <w:r>
        <w:rPr>
          <w:rFonts w:ascii="Arial" w:hAnsi="Arial" w:cs="Arial"/>
          <w:noProof/>
          <w:color w:val="000000" w:themeColor="text1"/>
          <w:lang w:val="sl-SI" w:eastAsia="sl-SI"/>
        </w:rPr>
        <w:lastRenderedPageBreak/>
        <w:drawing>
          <wp:inline distT="0" distB="0" distL="0" distR="0" wp14:anchorId="77781AE0" wp14:editId="55AC0021">
            <wp:extent cx="5075435" cy="295200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 9.jpg"/>
                    <pic:cNvPicPr/>
                  </pic:nvPicPr>
                  <pic:blipFill>
                    <a:blip r:embed="rId9" cstate="screen">
                      <a:extLst>
                        <a:ext uri="{28A0092B-C50C-407E-A947-70E740481C1C}">
                          <a14:useLocalDpi xmlns:a14="http://schemas.microsoft.com/office/drawing/2010/main"/>
                        </a:ext>
                      </a:extLst>
                    </a:blip>
                    <a:stretch>
                      <a:fillRect/>
                    </a:stretch>
                  </pic:blipFill>
                  <pic:spPr>
                    <a:xfrm>
                      <a:off x="0" y="0"/>
                      <a:ext cx="5075435" cy="2952000"/>
                    </a:xfrm>
                    <a:prstGeom prst="rect">
                      <a:avLst/>
                    </a:prstGeom>
                  </pic:spPr>
                </pic:pic>
              </a:graphicData>
            </a:graphic>
          </wp:inline>
        </w:drawing>
      </w:r>
    </w:p>
    <w:p w14:paraId="071046BB" w14:textId="1812F611" w:rsidR="00722A8B" w:rsidRPr="005E5961" w:rsidRDefault="00722A8B" w:rsidP="00722A8B">
      <w:pPr>
        <w:pStyle w:val="IAHRfigurecaptio"/>
      </w:pPr>
      <w:r w:rsidRPr="000A597B">
        <w:rPr>
          <w:b/>
        </w:rPr>
        <w:t xml:space="preserve">Fig. </w:t>
      </w:r>
      <w:r w:rsidR="00002F4D">
        <w:rPr>
          <w:b/>
        </w:rPr>
        <w:t>2</w:t>
      </w:r>
      <w:r w:rsidRPr="000A597B">
        <w:rPr>
          <w:b/>
        </w:rPr>
        <w:t>.</w:t>
      </w:r>
      <w:r w:rsidRPr="000A597B">
        <w:t xml:space="preserve"> </w:t>
      </w:r>
      <w:r w:rsidRPr="00722A8B">
        <w:t xml:space="preserve">A comparison of the extent of the flooded area and water depths for </w:t>
      </w:r>
      <w:r w:rsidR="00002F4D">
        <w:t xml:space="preserve">a </w:t>
      </w:r>
      <w:r w:rsidRPr="00722A8B">
        <w:t xml:space="preserve">flood </w:t>
      </w:r>
      <w:r w:rsidR="00002F4D">
        <w:t>wave</w:t>
      </w:r>
      <w:r w:rsidRPr="00722A8B">
        <w:t xml:space="preserve"> with </w:t>
      </w:r>
      <w:r w:rsidR="00002F4D">
        <w:t xml:space="preserve">a </w:t>
      </w:r>
      <w:r>
        <w:t xml:space="preserve">return period </w:t>
      </w:r>
      <w:r w:rsidR="00002F4D">
        <w:t xml:space="preserve">of </w:t>
      </w:r>
      <w:r>
        <w:t>100 years</w:t>
      </w:r>
      <w:r w:rsidRPr="00722A8B">
        <w:t xml:space="preserve"> (above) and a comparison of the special distribution of local velocities (below) for different ratios between the agricultural and forest areas</w:t>
      </w:r>
      <w:r w:rsidRPr="003B1FB3">
        <w:t>.</w:t>
      </w:r>
    </w:p>
    <w:p w14:paraId="221E97AD" w14:textId="12199F3B" w:rsidR="00AB2406" w:rsidRDefault="00AB2406" w:rsidP="00612FEB">
      <w:pPr>
        <w:pStyle w:val="IAHRtext"/>
      </w:pPr>
      <w:r w:rsidRPr="00AB2406">
        <w:t>Changes in land use not only affect runoff patterns but also impact the peak discharge of outflow hydrographs and the propagation time of flood waves, consequently influencing the flood hazard in downstream areas. Disforestation and the expansion of agricultural areas lead to increased water volume flowing onto retention areas. However, in areas with low retention roughness, water flow velocities in floodplains can be high, comparable to those in river channels, resulting in minimal water retention and a negative impact on peak attenuation due to coinciding wave peaks. Introducing roughness slows down water flow over retention areas, delaying the return of water to the</w:t>
      </w:r>
      <w:r w:rsidR="00002F4D">
        <w:t xml:space="preserve"> river</w:t>
      </w:r>
      <w:r w:rsidRPr="00AB2406">
        <w:t xml:space="preserve"> channel during the hydrograph's later stages and reducing its contribution to peak outflow. However, excessive roughness can hinder water flow over retention areas, preventing the flood wave peak from spilling onto these areas. While this reduces the impact of flood wave transformation, it also limits the effectiveness of retention in mitigating flood effects. Extending the propagation time of flood waves is crucial for downstream areas, allowing more time for flood protection measures and reducing the event's intensity through greater peak attenuation. Moreover, increasing vegetation density on floodplains reduces velocities and associated erosion hazards.</w:t>
      </w:r>
    </w:p>
    <w:p w14:paraId="3CB3AAA7" w14:textId="234B7D9C" w:rsidR="00B5356E" w:rsidRDefault="00B5356E" w:rsidP="00612FEB">
      <w:pPr>
        <w:pStyle w:val="IAHRtext"/>
      </w:pPr>
      <w:r>
        <w:t>Preserving the runoff regime in these influenced zones while avoiding adverse effects downstream is a challenging yet vital task. Achieving a static state in these areas is impractical due to the dynamic nature of spatial development. However, it is essential to analyze potential negative impacts resulting from spatial changes. Legislation aligned with the Flood Directive places restrictions on interventions in flood-prone areas, aiming to balance diverse changes within the region</w:t>
      </w:r>
      <w:r w:rsidRPr="008D51BC">
        <w:t>.</w:t>
      </w:r>
    </w:p>
    <w:p w14:paraId="098DDF7E" w14:textId="751F1047" w:rsidR="007666BA" w:rsidRPr="008D51BC" w:rsidRDefault="007666BA" w:rsidP="007666BA">
      <w:pPr>
        <w:pStyle w:val="IAHRheading1"/>
      </w:pPr>
      <w:r>
        <w:t>Malfunction of flood protection measures</w:t>
      </w:r>
    </w:p>
    <w:p w14:paraId="080CB964" w14:textId="5D1F4734" w:rsidR="00657E30" w:rsidRDefault="007666BA" w:rsidP="007666BA">
      <w:pPr>
        <w:pStyle w:val="IAHRtext"/>
      </w:pPr>
      <w:r>
        <w:t>After completing structural flood protection measures (FPMs), consolidation occurs, dependent on factors like soil quality and terrain load-bearing capacity. Regular maintenance and stability checks are essential to uphold the flood protection function. Between interventions, critical sections may emerge in areas with higher settlements, increasing the risk of embankment overflow.</w:t>
      </w:r>
      <w:r w:rsidR="00506226">
        <w:t xml:space="preserve"> </w:t>
      </w:r>
      <w:r>
        <w:t xml:space="preserve">FPM designs typically consider normal conditions, but extraordinary events like bridge clogging or </w:t>
      </w:r>
      <w:r w:rsidR="003B1FB3">
        <w:t>sediment transport and depositions</w:t>
      </w:r>
      <w:r>
        <w:t xml:space="preserve"> should be factored in. </w:t>
      </w:r>
      <w:r w:rsidR="00663400" w:rsidRPr="00663400">
        <w:t>Properly constructed and maintained FPMs should withstand loads without structural damage, but there's a risk of either instantaneous collapse or gradual breaching, leading to increased water spillage onto floodplains</w:t>
      </w:r>
      <w:r>
        <w:t xml:space="preserve">. </w:t>
      </w:r>
      <w:r w:rsidR="00657E30" w:rsidRPr="00657E30">
        <w:t>Nevertheless, as depicted in Fig</w:t>
      </w:r>
      <w:r w:rsidR="00657E30">
        <w:t>.</w:t>
      </w:r>
      <w:r w:rsidR="00657E30" w:rsidRPr="00657E30">
        <w:t xml:space="preserve"> </w:t>
      </w:r>
      <w:r w:rsidR="00002F4D">
        <w:t>3</w:t>
      </w:r>
      <w:r w:rsidR="00657E30" w:rsidRPr="00657E30">
        <w:t>, efficiency diminishes over time due to the aging of FPMs and other processes (such as soil consolidation). Without maintenance, FPMs quickly lose their freeboard effectiveness (refer to DIN 31 054, 2003), increasing the likelihood of failure or even collapse.</w:t>
      </w:r>
      <w:r w:rsidR="006E7B38">
        <w:t xml:space="preserve"> </w:t>
      </w:r>
      <w:r w:rsidR="006E7B38" w:rsidRPr="006E7B38">
        <w:t>​ Fig. 3 also shows that consistent maintenance extends the functionality of FPMs over time. Nevertheless, aging inevitably occurs, necessitating eventual reconstruction or new construction in accordance with current standards. Effective management requires informed decisions, such as the immediate reconstruction of damaged or collapsed FPMs or the extension of their functionality through regular maintenance for as long as this is possible.</w:t>
      </w:r>
    </w:p>
    <w:p w14:paraId="4D05ED2C" w14:textId="18290E62" w:rsidR="00657E30" w:rsidRDefault="00657E30" w:rsidP="00663400">
      <w:pPr>
        <w:pStyle w:val="IAHRtext"/>
        <w:jc w:val="center"/>
      </w:pPr>
      <w:r w:rsidRPr="008E63FD">
        <w:rPr>
          <w:noProof/>
          <w:lang w:val="en-GB" w:eastAsia="sl-SI"/>
        </w:rPr>
        <w:lastRenderedPageBreak/>
        <w:drawing>
          <wp:inline distT="0" distB="0" distL="0" distR="0" wp14:anchorId="1146382C" wp14:editId="4DE59E11">
            <wp:extent cx="4666911" cy="2793688"/>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3.tif"/>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4674209" cy="2798057"/>
                    </a:xfrm>
                    <a:prstGeom prst="rect">
                      <a:avLst/>
                    </a:prstGeom>
                    <a:ln>
                      <a:noFill/>
                    </a:ln>
                    <a:extLst>
                      <a:ext uri="{53640926-AAD7-44D8-BBD7-CCE9431645EC}">
                        <a14:shadowObscured xmlns:a14="http://schemas.microsoft.com/office/drawing/2010/main"/>
                      </a:ext>
                    </a:extLst>
                  </pic:spPr>
                </pic:pic>
              </a:graphicData>
            </a:graphic>
          </wp:inline>
        </w:drawing>
      </w:r>
    </w:p>
    <w:p w14:paraId="27F42CFE" w14:textId="26BE1C7C" w:rsidR="00657E30" w:rsidRPr="005E5961" w:rsidRDefault="00657E30" w:rsidP="00657E30">
      <w:pPr>
        <w:pStyle w:val="IAHRfigurecaptio"/>
      </w:pPr>
      <w:r w:rsidRPr="000A597B">
        <w:rPr>
          <w:b/>
        </w:rPr>
        <w:t xml:space="preserve">Fig. </w:t>
      </w:r>
      <w:r w:rsidR="00002F4D">
        <w:rPr>
          <w:b/>
        </w:rPr>
        <w:t>3</w:t>
      </w:r>
      <w:r w:rsidRPr="000A597B">
        <w:rPr>
          <w:b/>
        </w:rPr>
        <w:t>.</w:t>
      </w:r>
      <w:r w:rsidRPr="000A597B">
        <w:t xml:space="preserve"> </w:t>
      </w:r>
      <w:r w:rsidRPr="00657E30">
        <w:t>Changing of FPM efficiency regarding their conditions and scope of maintenance. (Rak and Steinman, 2014)</w:t>
      </w:r>
      <w:r w:rsidRPr="003B1FB3">
        <w:t>.</w:t>
      </w:r>
    </w:p>
    <w:p w14:paraId="4E2ECF88" w14:textId="53D02F87" w:rsidR="006E7B38" w:rsidRDefault="006E7B38" w:rsidP="007666BA">
      <w:pPr>
        <w:pStyle w:val="IAHRtext"/>
      </w:pPr>
      <w:r w:rsidRPr="006E7B38">
        <w:t xml:space="preserve">Overflow may </w:t>
      </w:r>
      <w:r w:rsidR="00663400">
        <w:t xml:space="preserve">also </w:t>
      </w:r>
      <w:r w:rsidRPr="006E7B38">
        <w:t>occur during extreme events where peak discharge surpasses design limits. Measures designed for critical areas typically accommodate a 100-year return period and additional freeboard. When water levels exceed these measures, it constitutes a "force majeure" event. Analyzing such scenarios helps prepare guidelines</w:t>
      </w:r>
      <w:r w:rsidR="00663400">
        <w:t>, restrictions, and requirements in spatial planning</w:t>
      </w:r>
      <w:r w:rsidRPr="006E7B38">
        <w:t xml:space="preserve"> for spatial planning and coordinated emergency responses. In scenario preparation, critical failure locations, erosion processes, breach timing, and water spillage dynamics onto floodplains must be considered. Flooding propagation due to FPM overflow and collapse is illustrated in Fig</w:t>
      </w:r>
      <w:r w:rsidR="00663400">
        <w:t>.</w:t>
      </w:r>
      <w:r w:rsidRPr="006E7B38">
        <w:t xml:space="preserve"> 4, showing flood states </w:t>
      </w:r>
      <w:r w:rsidR="00663400">
        <w:t xml:space="preserve">between </w:t>
      </w:r>
      <w:r w:rsidRPr="006E7B38">
        <w:t xml:space="preserve">one and </w:t>
      </w:r>
      <w:r w:rsidR="00663400">
        <w:t>8</w:t>
      </w:r>
      <w:r w:rsidRPr="006E7B38">
        <w:t xml:space="preserve"> hours after </w:t>
      </w:r>
      <w:r w:rsidR="00663400">
        <w:t>the embankment breaching starts (Steinman et al., 2012)</w:t>
      </w:r>
      <w:r w:rsidRPr="006E7B38">
        <w:t>.</w:t>
      </w:r>
    </w:p>
    <w:p w14:paraId="3FC9AA41" w14:textId="35C95CDA" w:rsidR="000845EE" w:rsidRDefault="00700D9A" w:rsidP="00663400">
      <w:pPr>
        <w:pStyle w:val="IAHRtext"/>
      </w:pPr>
      <w:r w:rsidRPr="00700D9A">
        <w:rPr>
          <w:noProof/>
          <w:lang w:val="pl-PL"/>
        </w:rPr>
        <w:drawing>
          <wp:inline distT="0" distB="0" distL="0" distR="0" wp14:anchorId="08FBDBAF" wp14:editId="2F457254">
            <wp:extent cx="6120130" cy="3005750"/>
            <wp:effectExtent l="0" t="0" r="0"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6120130" cy="3005750"/>
                    </a:xfrm>
                    <a:prstGeom prst="rect">
                      <a:avLst/>
                    </a:prstGeom>
                    <a:ln>
                      <a:noFill/>
                    </a:ln>
                    <a:extLst>
                      <a:ext uri="{53640926-AAD7-44D8-BBD7-CCE9431645EC}">
                        <a14:shadowObscured xmlns:a14="http://schemas.microsoft.com/office/drawing/2010/main"/>
                      </a:ext>
                    </a:extLst>
                  </pic:spPr>
                </pic:pic>
              </a:graphicData>
            </a:graphic>
          </wp:inline>
        </w:drawing>
      </w:r>
    </w:p>
    <w:p w14:paraId="5B0B1A12" w14:textId="13452858" w:rsidR="003B1FB3" w:rsidRPr="005E5961" w:rsidRDefault="003B1FB3" w:rsidP="003B1FB3">
      <w:pPr>
        <w:pStyle w:val="IAHRfigurecaptio"/>
      </w:pPr>
      <w:r w:rsidRPr="000A597B">
        <w:rPr>
          <w:b/>
        </w:rPr>
        <w:t xml:space="preserve">Fig. </w:t>
      </w:r>
      <w:r w:rsidR="00002F4D">
        <w:rPr>
          <w:b/>
        </w:rPr>
        <w:t>4</w:t>
      </w:r>
      <w:r w:rsidRPr="000A597B">
        <w:rPr>
          <w:b/>
        </w:rPr>
        <w:t>.</w:t>
      </w:r>
      <w:r w:rsidRPr="000A597B">
        <w:t xml:space="preserve"> </w:t>
      </w:r>
      <w:r w:rsidR="00CC4ADA" w:rsidRPr="00CC4ADA">
        <w:t>Flood dynamics within hours after the start of breaching of part of the flood protection embankment</w:t>
      </w:r>
      <w:r w:rsidRPr="003B1FB3">
        <w:t>.</w:t>
      </w:r>
    </w:p>
    <w:p w14:paraId="0880C9B2" w14:textId="29B6B5AD" w:rsidR="003B1FB3" w:rsidRPr="008D51BC" w:rsidRDefault="003B1FB3" w:rsidP="003B1FB3">
      <w:pPr>
        <w:pStyle w:val="IAHRheading1"/>
      </w:pPr>
      <w:r>
        <w:t>Conclusions</w:t>
      </w:r>
    </w:p>
    <w:p w14:paraId="5547744E" w14:textId="77777777" w:rsidR="00663400" w:rsidRDefault="00663400" w:rsidP="00663400">
      <w:pPr>
        <w:pStyle w:val="IAHRackntitle"/>
        <w:jc w:val="both"/>
        <w:rPr>
          <w:b w:val="0"/>
          <w:sz w:val="22"/>
        </w:rPr>
      </w:pPr>
      <w:r w:rsidRPr="00663400">
        <w:rPr>
          <w:b w:val="0"/>
          <w:sz w:val="22"/>
        </w:rPr>
        <w:t xml:space="preserve">The paper highlights some examples of anthropogenic activities that affect flood risk and </w:t>
      </w:r>
      <w:proofErr w:type="spellStart"/>
      <w:r w:rsidRPr="00663400">
        <w:rPr>
          <w:b w:val="0"/>
          <w:sz w:val="22"/>
        </w:rPr>
        <w:t>emphasises</w:t>
      </w:r>
      <w:proofErr w:type="spellEnd"/>
      <w:r w:rsidRPr="00663400">
        <w:rPr>
          <w:b w:val="0"/>
          <w:sz w:val="22"/>
        </w:rPr>
        <w:t xml:space="preserve"> the importance of hydraulic research in predicting and </w:t>
      </w:r>
      <w:proofErr w:type="spellStart"/>
      <w:r w:rsidRPr="00663400">
        <w:rPr>
          <w:b w:val="0"/>
          <w:sz w:val="22"/>
        </w:rPr>
        <w:t>analysing</w:t>
      </w:r>
      <w:proofErr w:type="spellEnd"/>
      <w:r w:rsidRPr="00663400">
        <w:rPr>
          <w:b w:val="0"/>
          <w:sz w:val="22"/>
        </w:rPr>
        <w:t xml:space="preserve"> adverse impacts on runoff in river channels and riparian areas. Such analyses improve emergency plans and help to formulate practical solutions and guidelines for spatial planning. The creation of this expert base enables the consideration of concerns that could hinder protection and rescue measures and helps to avoid excessive risks. Land use planning must take into account the experience that significant changes occur after interventions in riparian areas that </w:t>
      </w:r>
      <w:proofErr w:type="spellStart"/>
      <w:r w:rsidRPr="00663400">
        <w:rPr>
          <w:b w:val="0"/>
          <w:sz w:val="22"/>
        </w:rPr>
        <w:t>jeopardise</w:t>
      </w:r>
      <w:proofErr w:type="spellEnd"/>
      <w:r w:rsidRPr="00663400">
        <w:rPr>
          <w:b w:val="0"/>
          <w:sz w:val="22"/>
        </w:rPr>
        <w:t xml:space="preserve"> the objectives of the FPM. The lure of lower flood risk can lead to more intensive use of riparian areas, which increases the potential for damage during floods. Monitoring land use for change or degradation after completion of the </w:t>
      </w:r>
      <w:r w:rsidRPr="00663400">
        <w:rPr>
          <w:b w:val="0"/>
          <w:sz w:val="22"/>
        </w:rPr>
        <w:lastRenderedPageBreak/>
        <w:t>FPM is crucial to prevent harmful impacts throughout its lifetime. A comprehensive sustainable development plan should systematically manage flood-prone areas, taking into account both temporal and spatial dynamics.</w:t>
      </w:r>
    </w:p>
    <w:p w14:paraId="06D11B69" w14:textId="2E718D53" w:rsidR="00663400" w:rsidRPr="00663400" w:rsidRDefault="00663400" w:rsidP="00663400">
      <w:pPr>
        <w:pStyle w:val="IAHRackntitle"/>
        <w:rPr>
          <w:sz w:val="22"/>
        </w:rPr>
      </w:pPr>
      <w:r w:rsidRPr="00663400">
        <w:rPr>
          <w:sz w:val="22"/>
        </w:rPr>
        <w:t xml:space="preserve">Acknowledgements </w:t>
      </w:r>
    </w:p>
    <w:p w14:paraId="7D14175C" w14:textId="308B75CC" w:rsidR="00663400" w:rsidRPr="00663400" w:rsidRDefault="00663400" w:rsidP="00663400">
      <w:pPr>
        <w:pStyle w:val="IAHRackntext"/>
        <w:rPr>
          <w:sz w:val="22"/>
        </w:rPr>
      </w:pPr>
      <w:r w:rsidRPr="00663400">
        <w:rPr>
          <w:sz w:val="22"/>
        </w:rPr>
        <w:t xml:space="preserve">This research was funded by the Slovenian Research Agency research core funding No. P2-0180 "Water Science and Technology, and Geotechnical </w:t>
      </w:r>
      <w:r>
        <w:rPr>
          <w:sz w:val="22"/>
        </w:rPr>
        <w:t>Engineering</w:t>
      </w:r>
      <w:r w:rsidRPr="00663400">
        <w:rPr>
          <w:sz w:val="22"/>
        </w:rPr>
        <w:t>: Tools and Methods for Process Analyses and Simulations"</w:t>
      </w:r>
      <w:r>
        <w:rPr>
          <w:sz w:val="22"/>
        </w:rPr>
        <w:t>.</w:t>
      </w:r>
    </w:p>
    <w:p w14:paraId="658EEA88" w14:textId="158D3177" w:rsidR="0041327C" w:rsidRPr="00245C91" w:rsidRDefault="0041327C" w:rsidP="00FD2759">
      <w:pPr>
        <w:pStyle w:val="IAHRreferencestitle"/>
      </w:pPr>
      <w:r w:rsidRPr="00663400">
        <w:rPr>
          <w:sz w:val="22"/>
        </w:rPr>
        <w:t>References</w:t>
      </w:r>
      <w:r w:rsidR="00360073">
        <w:t xml:space="preserve"> </w:t>
      </w:r>
    </w:p>
    <w:p w14:paraId="3A2EB54D" w14:textId="421C6E90" w:rsidR="00657E30" w:rsidRPr="006E7B38" w:rsidRDefault="00657E30" w:rsidP="00FD2759">
      <w:pPr>
        <w:pStyle w:val="IAHRreferences"/>
        <w:rPr>
          <w:sz w:val="22"/>
        </w:rPr>
      </w:pPr>
      <w:bookmarkStart w:id="0" w:name="_Hlk158370825"/>
      <w:r w:rsidRPr="006E7B38">
        <w:rPr>
          <w:sz w:val="22"/>
        </w:rPr>
        <w:t>Loat, R (2003) Risk management in Switzerland. Biel.</w:t>
      </w:r>
    </w:p>
    <w:p w14:paraId="4EB5DC93" w14:textId="15ED6EA9" w:rsidR="00B5356E" w:rsidRPr="006E7B38" w:rsidRDefault="00B5356E" w:rsidP="00FD2759">
      <w:pPr>
        <w:pStyle w:val="IAHRreferences"/>
        <w:rPr>
          <w:sz w:val="22"/>
        </w:rPr>
      </w:pPr>
      <w:r w:rsidRPr="006E7B38">
        <w:rPr>
          <w:sz w:val="22"/>
        </w:rPr>
        <w:t>Ministry of the Environment and Spatial Planning</w:t>
      </w:r>
      <w:r w:rsidR="00002F4D" w:rsidRPr="006E7B38">
        <w:rPr>
          <w:sz w:val="22"/>
        </w:rPr>
        <w:t xml:space="preserve"> (</w:t>
      </w:r>
      <w:r w:rsidRPr="006E7B38">
        <w:rPr>
          <w:sz w:val="22"/>
        </w:rPr>
        <w:t>2007</w:t>
      </w:r>
      <w:bookmarkEnd w:id="0"/>
      <w:r w:rsidR="00002F4D" w:rsidRPr="006E7B38">
        <w:rPr>
          <w:sz w:val="22"/>
        </w:rPr>
        <w:t>)</w:t>
      </w:r>
      <w:r w:rsidRPr="006E7B38">
        <w:rPr>
          <w:sz w:val="22"/>
        </w:rPr>
        <w:t xml:space="preserve"> Rules on the methodology for determining the areas threatened by floods and associated erosion of inland and marine waters, and the method of classifying land in hazard classes, Official Gazette of RS, Nos. 60/07.</w:t>
      </w:r>
    </w:p>
    <w:p w14:paraId="1FB6E914" w14:textId="462443EE" w:rsidR="00002F4D" w:rsidRPr="006E7B38" w:rsidRDefault="00002F4D" w:rsidP="00FD2759">
      <w:pPr>
        <w:pStyle w:val="IAHRreferences"/>
        <w:rPr>
          <w:sz w:val="22"/>
        </w:rPr>
      </w:pPr>
      <w:r w:rsidRPr="006E7B38">
        <w:rPr>
          <w:sz w:val="22"/>
        </w:rPr>
        <w:t>Ministry of the Environment and Spatial Planning (2008) Decree on conditions and restrictions for the implementation of activities and spatial interventions in areas endangered by floods and related erosion of inland waters and the sea, Official Gazette of RS, Nos. 89/08.</w:t>
      </w:r>
    </w:p>
    <w:p w14:paraId="6A428589" w14:textId="20AD6D15" w:rsidR="00B5356E" w:rsidRPr="006E7B38" w:rsidRDefault="00B5356E" w:rsidP="00FD2759">
      <w:pPr>
        <w:pStyle w:val="IAHRreferences"/>
        <w:rPr>
          <w:sz w:val="22"/>
        </w:rPr>
      </w:pPr>
      <w:r w:rsidRPr="006E7B38">
        <w:rPr>
          <w:sz w:val="22"/>
        </w:rPr>
        <w:t>Rak G (2013) Hydraulic Analysis of Floodplain Land Use Effects on Flood Wave Propagation.  Master's thesis, Ljubljana, University of Ljubljana, Faculty of Civil and Geodetic Engineering.</w:t>
      </w:r>
    </w:p>
    <w:p w14:paraId="383E80A4" w14:textId="1DC4F0E2" w:rsidR="00657E30" w:rsidRPr="006E7B38" w:rsidRDefault="00657E30" w:rsidP="00FD2759">
      <w:pPr>
        <w:pStyle w:val="IAHRreferences"/>
        <w:rPr>
          <w:sz w:val="22"/>
        </w:rPr>
      </w:pPr>
      <w:r w:rsidRPr="006E7B38">
        <w:rPr>
          <w:sz w:val="22"/>
        </w:rPr>
        <w:t xml:space="preserve">Rak, G, Steinman, F (2014) </w:t>
      </w:r>
      <w:proofErr w:type="spellStart"/>
      <w:r w:rsidRPr="006E7B38">
        <w:rPr>
          <w:sz w:val="22"/>
        </w:rPr>
        <w:t>Kaj</w:t>
      </w:r>
      <w:proofErr w:type="spellEnd"/>
      <w:r w:rsidRPr="006E7B38">
        <w:rPr>
          <w:sz w:val="22"/>
        </w:rPr>
        <w:t xml:space="preserve"> se </w:t>
      </w:r>
      <w:proofErr w:type="spellStart"/>
      <w:r w:rsidRPr="006E7B38">
        <w:rPr>
          <w:sz w:val="22"/>
        </w:rPr>
        <w:t>zgodi</w:t>
      </w:r>
      <w:proofErr w:type="spellEnd"/>
      <w:r w:rsidRPr="006E7B38">
        <w:rPr>
          <w:sz w:val="22"/>
        </w:rPr>
        <w:t xml:space="preserve"> ko PPU </w:t>
      </w:r>
      <w:proofErr w:type="spellStart"/>
      <w:r w:rsidRPr="006E7B38">
        <w:rPr>
          <w:sz w:val="22"/>
        </w:rPr>
        <w:t>odpovedo</w:t>
      </w:r>
      <w:proofErr w:type="spellEnd"/>
      <w:r w:rsidRPr="006E7B38">
        <w:rPr>
          <w:sz w:val="22"/>
        </w:rPr>
        <w:t xml:space="preserve"> – </w:t>
      </w:r>
      <w:proofErr w:type="spellStart"/>
      <w:r w:rsidRPr="006E7B38">
        <w:rPr>
          <w:sz w:val="22"/>
        </w:rPr>
        <w:t>Poplavni</w:t>
      </w:r>
      <w:proofErr w:type="spellEnd"/>
      <w:r w:rsidRPr="006E7B38">
        <w:rPr>
          <w:sz w:val="22"/>
        </w:rPr>
        <w:t xml:space="preserve"> </w:t>
      </w:r>
      <w:proofErr w:type="spellStart"/>
      <w:r w:rsidRPr="006E7B38">
        <w:rPr>
          <w:sz w:val="22"/>
        </w:rPr>
        <w:t>scenariji</w:t>
      </w:r>
      <w:proofErr w:type="spellEnd"/>
      <w:r w:rsidRPr="006E7B38">
        <w:rPr>
          <w:sz w:val="22"/>
        </w:rPr>
        <w:t xml:space="preserve"> v Gornji </w:t>
      </w:r>
      <w:proofErr w:type="spellStart"/>
      <w:r w:rsidRPr="006E7B38">
        <w:rPr>
          <w:sz w:val="22"/>
        </w:rPr>
        <w:t>Radgoni</w:t>
      </w:r>
      <w:proofErr w:type="spellEnd"/>
      <w:r w:rsidRPr="006E7B38">
        <w:rPr>
          <w:sz w:val="22"/>
        </w:rPr>
        <w:t xml:space="preserve">. 25. </w:t>
      </w:r>
      <w:proofErr w:type="spellStart"/>
      <w:r w:rsidRPr="006E7B38">
        <w:rPr>
          <w:sz w:val="22"/>
        </w:rPr>
        <w:t>Mišičev</w:t>
      </w:r>
      <w:proofErr w:type="spellEnd"/>
      <w:r w:rsidRPr="006E7B38">
        <w:rPr>
          <w:sz w:val="22"/>
        </w:rPr>
        <w:t xml:space="preserve"> </w:t>
      </w:r>
      <w:proofErr w:type="spellStart"/>
      <w:r w:rsidRPr="006E7B38">
        <w:rPr>
          <w:sz w:val="22"/>
        </w:rPr>
        <w:t>vodarski</w:t>
      </w:r>
      <w:proofErr w:type="spellEnd"/>
      <w:r w:rsidRPr="006E7B38">
        <w:rPr>
          <w:sz w:val="22"/>
        </w:rPr>
        <w:t xml:space="preserve"> dan: 83-90.</w:t>
      </w:r>
    </w:p>
    <w:p w14:paraId="3CD946A7" w14:textId="77777777" w:rsidR="00B5356E" w:rsidRPr="006E7B38" w:rsidRDefault="00B5356E" w:rsidP="00B5356E">
      <w:pPr>
        <w:pStyle w:val="IAHRreferences"/>
        <w:rPr>
          <w:sz w:val="22"/>
          <w:lang w:val="en-GB"/>
        </w:rPr>
      </w:pPr>
      <w:r w:rsidRPr="006E7B38">
        <w:rPr>
          <w:sz w:val="22"/>
          <w:lang w:val="en-GB"/>
        </w:rPr>
        <w:t xml:space="preserve">Rak G, Grobljar S, Steinman F (2018) Flood modelling in urban areas, Acta </w:t>
      </w:r>
      <w:proofErr w:type="spellStart"/>
      <w:r w:rsidRPr="006E7B38">
        <w:rPr>
          <w:sz w:val="22"/>
          <w:lang w:val="en-GB"/>
        </w:rPr>
        <w:t>hydrotechnica</w:t>
      </w:r>
      <w:proofErr w:type="spellEnd"/>
      <w:r w:rsidRPr="006E7B38">
        <w:rPr>
          <w:sz w:val="22"/>
          <w:lang w:val="en-GB"/>
        </w:rPr>
        <w:t>, 31(54), 21-33.</w:t>
      </w:r>
    </w:p>
    <w:p w14:paraId="14E37926" w14:textId="6D87D4C9" w:rsidR="00B5356E" w:rsidRPr="006E7B38" w:rsidRDefault="00B5356E" w:rsidP="00FD2759">
      <w:pPr>
        <w:pStyle w:val="IAHRreferences"/>
        <w:rPr>
          <w:sz w:val="22"/>
        </w:rPr>
      </w:pPr>
      <w:r w:rsidRPr="006E7B38">
        <w:rPr>
          <w:sz w:val="22"/>
        </w:rPr>
        <w:t>Rak G, Kozelj D, Steinman F (2016) The impact of floodplain land use on flood wave propagation. Natural hazards 83; 1: 425–443.</w:t>
      </w:r>
    </w:p>
    <w:p w14:paraId="0EFB1537" w14:textId="6E412785" w:rsidR="00657E30" w:rsidRPr="006E7B38" w:rsidRDefault="00657E30" w:rsidP="00FD2759">
      <w:pPr>
        <w:pStyle w:val="IAHRreferences"/>
        <w:rPr>
          <w:sz w:val="22"/>
        </w:rPr>
      </w:pPr>
      <w:r w:rsidRPr="006E7B38">
        <w:rPr>
          <w:sz w:val="22"/>
        </w:rPr>
        <w:t xml:space="preserve">Steinman F, Mueller M, Kozelj D, Rak G (2012) </w:t>
      </w:r>
      <w:proofErr w:type="spellStart"/>
      <w:r w:rsidRPr="006E7B38">
        <w:rPr>
          <w:sz w:val="22"/>
        </w:rPr>
        <w:t>Analiza</w:t>
      </w:r>
      <w:proofErr w:type="spellEnd"/>
      <w:r w:rsidRPr="006E7B38">
        <w:rPr>
          <w:sz w:val="22"/>
        </w:rPr>
        <w:t xml:space="preserve"> </w:t>
      </w:r>
      <w:proofErr w:type="spellStart"/>
      <w:r w:rsidRPr="006E7B38">
        <w:rPr>
          <w:sz w:val="22"/>
        </w:rPr>
        <w:t>poplavljanja</w:t>
      </w:r>
      <w:proofErr w:type="spellEnd"/>
      <w:r w:rsidRPr="006E7B38">
        <w:rPr>
          <w:sz w:val="22"/>
        </w:rPr>
        <w:t xml:space="preserve"> </w:t>
      </w:r>
      <w:proofErr w:type="spellStart"/>
      <w:r w:rsidRPr="006E7B38">
        <w:rPr>
          <w:sz w:val="22"/>
        </w:rPr>
        <w:t>mejne</w:t>
      </w:r>
      <w:proofErr w:type="spellEnd"/>
      <w:r w:rsidRPr="006E7B38">
        <w:rPr>
          <w:sz w:val="22"/>
        </w:rPr>
        <w:t xml:space="preserve"> </w:t>
      </w:r>
      <w:proofErr w:type="spellStart"/>
      <w:r w:rsidRPr="006E7B38">
        <w:rPr>
          <w:sz w:val="22"/>
        </w:rPr>
        <w:t>Mure</w:t>
      </w:r>
      <w:proofErr w:type="spellEnd"/>
      <w:r w:rsidRPr="006E7B38">
        <w:rPr>
          <w:sz w:val="22"/>
        </w:rPr>
        <w:t>/</w:t>
      </w:r>
      <w:proofErr w:type="spellStart"/>
      <w:r w:rsidRPr="006E7B38">
        <w:rPr>
          <w:sz w:val="22"/>
        </w:rPr>
        <w:t>Abflussuntersuchung</w:t>
      </w:r>
      <w:proofErr w:type="spellEnd"/>
      <w:r w:rsidRPr="006E7B38">
        <w:rPr>
          <w:sz w:val="22"/>
        </w:rPr>
        <w:t xml:space="preserve"> der </w:t>
      </w:r>
      <w:proofErr w:type="spellStart"/>
      <w:r w:rsidRPr="006E7B38">
        <w:rPr>
          <w:sz w:val="22"/>
        </w:rPr>
        <w:t>Grenzmur</w:t>
      </w:r>
      <w:proofErr w:type="spellEnd"/>
      <w:r w:rsidRPr="006E7B38">
        <w:rPr>
          <w:sz w:val="22"/>
        </w:rPr>
        <w:t>. UL FGG, VGI. EU project DRA-MUR-CI SI-AT 2007-2013.</w:t>
      </w:r>
    </w:p>
    <w:p w14:paraId="6042BBAD" w14:textId="3A524705" w:rsidR="00B5356E" w:rsidRPr="006E7B38" w:rsidRDefault="00B5356E" w:rsidP="00FD2759">
      <w:pPr>
        <w:pStyle w:val="IAHRreferences"/>
        <w:rPr>
          <w:sz w:val="22"/>
        </w:rPr>
      </w:pPr>
      <w:r w:rsidRPr="006E7B38">
        <w:rPr>
          <w:sz w:val="22"/>
        </w:rPr>
        <w:t xml:space="preserve">Šantl S, Rak G (2010) Flood hazard and run-off regime analysis - approach with use of different types of hydraulic models, </w:t>
      </w:r>
      <w:proofErr w:type="spellStart"/>
      <w:r w:rsidRPr="006E7B38">
        <w:rPr>
          <w:sz w:val="22"/>
        </w:rPr>
        <w:t>Gradbeni</w:t>
      </w:r>
      <w:proofErr w:type="spellEnd"/>
      <w:r w:rsidRPr="006E7B38">
        <w:rPr>
          <w:sz w:val="22"/>
        </w:rPr>
        <w:t xml:space="preserve"> vestnik, Ljubljana, 147–156.</w:t>
      </w:r>
    </w:p>
    <w:sectPr w:rsidR="00B5356E" w:rsidRPr="006E7B38" w:rsidSect="00BC68F7">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EE"/>
    <w:family w:val="modern"/>
    <w:pitch w:val="fixed"/>
    <w:sig w:usb0="E00006FF" w:usb1="0000FCFF" w:usb2="00000001" w:usb3="00000000" w:csb0="0000019F" w:csb1="00000000"/>
  </w:font>
  <w:font w:name="Times">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5C41DF"/>
    <w:multiLevelType w:val="multilevel"/>
    <w:tmpl w:val="7E4E1456"/>
    <w:lvl w:ilvl="0">
      <w:start w:val="1"/>
      <w:numFmt w:val="decimal"/>
      <w:pStyle w:val="IAHRheading1"/>
      <w:lvlText w:val="%1."/>
      <w:lvlJc w:val="left"/>
      <w:pPr>
        <w:ind w:left="360" w:hanging="360"/>
      </w:pPr>
      <w:rPr>
        <w:rFonts w:hint="default"/>
      </w:rPr>
    </w:lvl>
    <w:lvl w:ilvl="1">
      <w:start w:val="1"/>
      <w:numFmt w:val="decimal"/>
      <w:pStyle w:val="IAHR-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A62797F"/>
    <w:multiLevelType w:val="hybridMultilevel"/>
    <w:tmpl w:val="B8506F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zMDIxtDAwNTazMDVW0lEKTi0uzszPAykwrgUAcAmuWSwAAAA="/>
  </w:docVars>
  <w:rsids>
    <w:rsidRoot w:val="00025D1B"/>
    <w:rsid w:val="00002F4D"/>
    <w:rsid w:val="000206E4"/>
    <w:rsid w:val="00025D1B"/>
    <w:rsid w:val="00025ECC"/>
    <w:rsid w:val="000302E3"/>
    <w:rsid w:val="000845EE"/>
    <w:rsid w:val="000A597B"/>
    <w:rsid w:val="000C45DF"/>
    <w:rsid w:val="000D1446"/>
    <w:rsid w:val="000D6DFA"/>
    <w:rsid w:val="000E0841"/>
    <w:rsid w:val="000E6234"/>
    <w:rsid w:val="000F644D"/>
    <w:rsid w:val="0018149D"/>
    <w:rsid w:val="00196D85"/>
    <w:rsid w:val="001A064F"/>
    <w:rsid w:val="001A7863"/>
    <w:rsid w:val="001A7ED4"/>
    <w:rsid w:val="001B7AEB"/>
    <w:rsid w:val="001E674F"/>
    <w:rsid w:val="001F1289"/>
    <w:rsid w:val="00210101"/>
    <w:rsid w:val="00245C91"/>
    <w:rsid w:val="00255618"/>
    <w:rsid w:val="00291A83"/>
    <w:rsid w:val="00297079"/>
    <w:rsid w:val="002F3F93"/>
    <w:rsid w:val="003447AC"/>
    <w:rsid w:val="0034722B"/>
    <w:rsid w:val="00360073"/>
    <w:rsid w:val="0036082C"/>
    <w:rsid w:val="00367B53"/>
    <w:rsid w:val="00372B69"/>
    <w:rsid w:val="00383860"/>
    <w:rsid w:val="00390835"/>
    <w:rsid w:val="003A3A0D"/>
    <w:rsid w:val="003B1FB3"/>
    <w:rsid w:val="003C48F2"/>
    <w:rsid w:val="003D732B"/>
    <w:rsid w:val="003E461C"/>
    <w:rsid w:val="003F52B6"/>
    <w:rsid w:val="0041327C"/>
    <w:rsid w:val="00415182"/>
    <w:rsid w:val="00440BBE"/>
    <w:rsid w:val="004518C8"/>
    <w:rsid w:val="00476384"/>
    <w:rsid w:val="004B340A"/>
    <w:rsid w:val="004D087A"/>
    <w:rsid w:val="00506226"/>
    <w:rsid w:val="0054683A"/>
    <w:rsid w:val="00567E16"/>
    <w:rsid w:val="00570697"/>
    <w:rsid w:val="00577C89"/>
    <w:rsid w:val="0058209F"/>
    <w:rsid w:val="005965B4"/>
    <w:rsid w:val="005A75B7"/>
    <w:rsid w:val="005C3DF9"/>
    <w:rsid w:val="005E5961"/>
    <w:rsid w:val="005F1606"/>
    <w:rsid w:val="00612FEB"/>
    <w:rsid w:val="00622020"/>
    <w:rsid w:val="00631EA4"/>
    <w:rsid w:val="00633B83"/>
    <w:rsid w:val="00657E30"/>
    <w:rsid w:val="00662DF3"/>
    <w:rsid w:val="00663400"/>
    <w:rsid w:val="006B123A"/>
    <w:rsid w:val="006B35BD"/>
    <w:rsid w:val="006B55B5"/>
    <w:rsid w:val="006E0759"/>
    <w:rsid w:val="006E7B38"/>
    <w:rsid w:val="00700D9A"/>
    <w:rsid w:val="00722A8B"/>
    <w:rsid w:val="00723775"/>
    <w:rsid w:val="00727842"/>
    <w:rsid w:val="00733725"/>
    <w:rsid w:val="00747B01"/>
    <w:rsid w:val="007666BA"/>
    <w:rsid w:val="00766F52"/>
    <w:rsid w:val="007705F6"/>
    <w:rsid w:val="007A13C1"/>
    <w:rsid w:val="007C0ACD"/>
    <w:rsid w:val="007F0685"/>
    <w:rsid w:val="007F4970"/>
    <w:rsid w:val="00850EB6"/>
    <w:rsid w:val="0086051E"/>
    <w:rsid w:val="00864CEA"/>
    <w:rsid w:val="008A1D37"/>
    <w:rsid w:val="008C701F"/>
    <w:rsid w:val="008C7909"/>
    <w:rsid w:val="008D432A"/>
    <w:rsid w:val="008D50C0"/>
    <w:rsid w:val="008D51BC"/>
    <w:rsid w:val="008F5CCD"/>
    <w:rsid w:val="00915361"/>
    <w:rsid w:val="00926804"/>
    <w:rsid w:val="00926EE1"/>
    <w:rsid w:val="0094421E"/>
    <w:rsid w:val="00961891"/>
    <w:rsid w:val="009635D5"/>
    <w:rsid w:val="009776D5"/>
    <w:rsid w:val="009A5AD4"/>
    <w:rsid w:val="009A7FD6"/>
    <w:rsid w:val="009F75D1"/>
    <w:rsid w:val="00A259A4"/>
    <w:rsid w:val="00A30BBA"/>
    <w:rsid w:val="00A31D56"/>
    <w:rsid w:val="00A567B8"/>
    <w:rsid w:val="00A66A76"/>
    <w:rsid w:val="00A71EEA"/>
    <w:rsid w:val="00A72A03"/>
    <w:rsid w:val="00A77D44"/>
    <w:rsid w:val="00A84857"/>
    <w:rsid w:val="00AA1BBE"/>
    <w:rsid w:val="00AA419A"/>
    <w:rsid w:val="00AB2406"/>
    <w:rsid w:val="00AC1045"/>
    <w:rsid w:val="00AE1BA2"/>
    <w:rsid w:val="00AF7322"/>
    <w:rsid w:val="00B31F57"/>
    <w:rsid w:val="00B5037F"/>
    <w:rsid w:val="00B5356E"/>
    <w:rsid w:val="00B54BFC"/>
    <w:rsid w:val="00B85247"/>
    <w:rsid w:val="00BA6B56"/>
    <w:rsid w:val="00BC5919"/>
    <w:rsid w:val="00BC5B65"/>
    <w:rsid w:val="00BC68F7"/>
    <w:rsid w:val="00C150E8"/>
    <w:rsid w:val="00C23B9C"/>
    <w:rsid w:val="00C2447A"/>
    <w:rsid w:val="00C2717A"/>
    <w:rsid w:val="00C30C66"/>
    <w:rsid w:val="00C519A7"/>
    <w:rsid w:val="00C81809"/>
    <w:rsid w:val="00CA002B"/>
    <w:rsid w:val="00CC4ADA"/>
    <w:rsid w:val="00CC700B"/>
    <w:rsid w:val="00CD3394"/>
    <w:rsid w:val="00CD60BE"/>
    <w:rsid w:val="00CF7F11"/>
    <w:rsid w:val="00D11F93"/>
    <w:rsid w:val="00D30FB9"/>
    <w:rsid w:val="00D52105"/>
    <w:rsid w:val="00DB2213"/>
    <w:rsid w:val="00DC554A"/>
    <w:rsid w:val="00DD1911"/>
    <w:rsid w:val="00DF722D"/>
    <w:rsid w:val="00E171D5"/>
    <w:rsid w:val="00E32C46"/>
    <w:rsid w:val="00E4208C"/>
    <w:rsid w:val="00E42E6B"/>
    <w:rsid w:val="00E47B14"/>
    <w:rsid w:val="00E61755"/>
    <w:rsid w:val="00E87898"/>
    <w:rsid w:val="00EA77D9"/>
    <w:rsid w:val="00EB5192"/>
    <w:rsid w:val="00EC3E7F"/>
    <w:rsid w:val="00EC75D8"/>
    <w:rsid w:val="00ED6E6A"/>
    <w:rsid w:val="00EF044F"/>
    <w:rsid w:val="00F05656"/>
    <w:rsid w:val="00F22A81"/>
    <w:rsid w:val="00FA1EE9"/>
    <w:rsid w:val="00FB7790"/>
    <w:rsid w:val="00FD2759"/>
    <w:rsid w:val="00FE0A09"/>
    <w:rsid w:val="00FE72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CC7E51"/>
  <w15:chartTrackingRefBased/>
  <w15:docId w15:val="{06FB9E92-4202-4109-9777-E840EC3F8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8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HAddress">
    <w:name w:val="SH Address"/>
    <w:basedOn w:val="Normal"/>
    <w:rsid w:val="00025D1B"/>
    <w:pPr>
      <w:spacing w:after="0" w:line="240" w:lineRule="auto"/>
      <w:jc w:val="center"/>
    </w:pPr>
    <w:rPr>
      <w:rFonts w:ascii="Times New Roman" w:eastAsia="Times New Roman" w:hAnsi="Times New Roman" w:cs="Times New Roman"/>
      <w:sz w:val="20"/>
      <w:szCs w:val="20"/>
      <w:lang w:eastAsia="pl-PL"/>
    </w:rPr>
  </w:style>
  <w:style w:type="paragraph" w:customStyle="1" w:styleId="SHAuthor">
    <w:name w:val="SH Author"/>
    <w:basedOn w:val="Normal"/>
    <w:rsid w:val="00025D1B"/>
    <w:pPr>
      <w:spacing w:after="120" w:line="240" w:lineRule="auto"/>
      <w:jc w:val="center"/>
    </w:pPr>
    <w:rPr>
      <w:rFonts w:ascii="Times New Roman" w:eastAsia="Times New Roman" w:hAnsi="Times New Roman" w:cs="Times New Roman"/>
      <w:iCs/>
      <w:sz w:val="20"/>
      <w:szCs w:val="20"/>
      <w:lang w:val="en-US" w:eastAsia="pl-PL"/>
    </w:rPr>
  </w:style>
  <w:style w:type="paragraph" w:customStyle="1" w:styleId="SHTitle">
    <w:name w:val="SH Title"/>
    <w:basedOn w:val="Normal"/>
    <w:rsid w:val="00025D1B"/>
    <w:pPr>
      <w:spacing w:before="600" w:after="240" w:line="240" w:lineRule="auto"/>
      <w:jc w:val="center"/>
    </w:pPr>
    <w:rPr>
      <w:rFonts w:ascii="Times New Roman" w:eastAsia="Times New Roman" w:hAnsi="Times New Roman" w:cs="Times New Roman"/>
      <w:b/>
      <w:sz w:val="28"/>
      <w:szCs w:val="24"/>
      <w:lang w:val="en-GB" w:eastAsia="pl-PL"/>
    </w:rPr>
  </w:style>
  <w:style w:type="paragraph" w:customStyle="1" w:styleId="SHEquation">
    <w:name w:val="SH Equation"/>
    <w:basedOn w:val="Normal"/>
    <w:rsid w:val="00025D1B"/>
    <w:pPr>
      <w:tabs>
        <w:tab w:val="right" w:pos="7598"/>
      </w:tabs>
      <w:spacing w:before="120" w:after="0" w:line="240" w:lineRule="auto"/>
      <w:ind w:firstLine="851"/>
    </w:pPr>
    <w:rPr>
      <w:rFonts w:ascii="Times New Roman" w:eastAsia="Times New Roman" w:hAnsi="Times New Roman" w:cs="Times New Roman"/>
      <w:szCs w:val="20"/>
      <w:lang w:val="en-US" w:eastAsia="pl-PL"/>
    </w:rPr>
  </w:style>
  <w:style w:type="paragraph" w:customStyle="1" w:styleId="SHFigurecaption">
    <w:name w:val="SH Figure caption"/>
    <w:basedOn w:val="SHAbstract-text-noindent"/>
    <w:next w:val="Normal"/>
    <w:rsid w:val="00025D1B"/>
    <w:pPr>
      <w:spacing w:after="120"/>
      <w:jc w:val="center"/>
    </w:pPr>
    <w:rPr>
      <w:sz w:val="17"/>
    </w:rPr>
  </w:style>
  <w:style w:type="paragraph" w:customStyle="1" w:styleId="SHHeader">
    <w:name w:val="SH Header"/>
    <w:basedOn w:val="Normal"/>
    <w:rsid w:val="00025D1B"/>
    <w:pPr>
      <w:spacing w:after="0" w:line="240" w:lineRule="auto"/>
      <w:jc w:val="center"/>
    </w:pPr>
    <w:rPr>
      <w:rFonts w:ascii="Verdana" w:eastAsia="Times New Roman" w:hAnsi="Verdana" w:cs="Times New Roman"/>
      <w:sz w:val="20"/>
      <w:szCs w:val="24"/>
      <w:lang w:eastAsia="pl-PL"/>
    </w:rPr>
  </w:style>
  <w:style w:type="paragraph" w:customStyle="1" w:styleId="SHInstitute">
    <w:name w:val="SH Institute"/>
    <w:basedOn w:val="SHAuthor"/>
    <w:rsid w:val="00025D1B"/>
    <w:pPr>
      <w:spacing w:before="120" w:after="0"/>
    </w:pPr>
  </w:style>
  <w:style w:type="paragraph" w:customStyle="1" w:styleId="SHAbstract-text-noindent">
    <w:name w:val="SH Abstract-text-noindent"/>
    <w:basedOn w:val="Normal"/>
    <w:next w:val="Normal"/>
    <w:qFormat/>
    <w:rsid w:val="009A7FD6"/>
    <w:pPr>
      <w:spacing w:after="0" w:line="240" w:lineRule="auto"/>
      <w:jc w:val="both"/>
    </w:pPr>
    <w:rPr>
      <w:rFonts w:ascii="Times New Roman" w:eastAsia="Times New Roman" w:hAnsi="Times New Roman" w:cs="Times New Roman"/>
      <w:sz w:val="20"/>
      <w:szCs w:val="20"/>
      <w:lang w:val="en-US" w:eastAsia="pl-PL"/>
    </w:rPr>
  </w:style>
  <w:style w:type="paragraph" w:styleId="BalloonText">
    <w:name w:val="Balloon Text"/>
    <w:basedOn w:val="Normal"/>
    <w:link w:val="BalloonTextChar"/>
    <w:uiPriority w:val="99"/>
    <w:semiHidden/>
    <w:unhideWhenUsed/>
    <w:rsid w:val="00025D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5D1B"/>
    <w:rPr>
      <w:rFonts w:ascii="Segoe UI" w:hAnsi="Segoe UI" w:cs="Segoe UI"/>
      <w:sz w:val="18"/>
      <w:szCs w:val="18"/>
    </w:rPr>
  </w:style>
  <w:style w:type="paragraph" w:customStyle="1" w:styleId="SHNoindenttext">
    <w:name w:val="SH No indent text"/>
    <w:basedOn w:val="Normal"/>
    <w:next w:val="SHIndenttext"/>
    <w:rsid w:val="00297079"/>
    <w:pPr>
      <w:tabs>
        <w:tab w:val="left" w:pos="567"/>
        <w:tab w:val="left" w:pos="1843"/>
      </w:tabs>
      <w:spacing w:before="120" w:after="0" w:line="240" w:lineRule="auto"/>
      <w:jc w:val="both"/>
    </w:pPr>
    <w:rPr>
      <w:rFonts w:ascii="Times New Roman" w:eastAsia="Times New Roman" w:hAnsi="Times New Roman" w:cs="Times New Roman"/>
      <w:szCs w:val="20"/>
      <w:lang w:val="en-US" w:eastAsia="pl-PL"/>
    </w:rPr>
  </w:style>
  <w:style w:type="paragraph" w:customStyle="1" w:styleId="SHIndenttext">
    <w:name w:val="SH Indent text"/>
    <w:basedOn w:val="Normal"/>
    <w:rsid w:val="00297079"/>
    <w:pPr>
      <w:spacing w:before="120" w:after="0" w:line="240" w:lineRule="auto"/>
      <w:ind w:firstLine="567"/>
      <w:jc w:val="both"/>
    </w:pPr>
    <w:rPr>
      <w:rFonts w:ascii="Times New Roman" w:eastAsia="Times New Roman" w:hAnsi="Times New Roman" w:cs="Times New Roman"/>
      <w:szCs w:val="20"/>
      <w:lang w:val="en-US" w:eastAsia="pl-PL"/>
    </w:rPr>
  </w:style>
  <w:style w:type="paragraph" w:customStyle="1" w:styleId="SHTableno">
    <w:name w:val="SH Table no"/>
    <w:basedOn w:val="SHIndenttext"/>
    <w:next w:val="SHTabletitle"/>
    <w:rsid w:val="00440BBE"/>
    <w:pPr>
      <w:widowControl w:val="0"/>
      <w:ind w:firstLine="0"/>
      <w:jc w:val="center"/>
    </w:pPr>
    <w:rPr>
      <w:rFonts w:eastAsia="MS Mincho"/>
      <w:sz w:val="20"/>
    </w:rPr>
  </w:style>
  <w:style w:type="paragraph" w:customStyle="1" w:styleId="SHTabletitle">
    <w:name w:val="SH Table title"/>
    <w:basedOn w:val="SHTableno"/>
    <w:rsid w:val="00297079"/>
    <w:pPr>
      <w:spacing w:before="0"/>
    </w:pPr>
  </w:style>
  <w:style w:type="paragraph" w:customStyle="1" w:styleId="SHTabletext">
    <w:name w:val="SH Table text"/>
    <w:basedOn w:val="SHTabletitle"/>
    <w:rsid w:val="00297079"/>
  </w:style>
  <w:style w:type="character" w:styleId="Hyperlink">
    <w:name w:val="Hyperlink"/>
    <w:basedOn w:val="DefaultParagraphFont"/>
    <w:uiPriority w:val="99"/>
    <w:unhideWhenUsed/>
    <w:rsid w:val="0041327C"/>
    <w:rPr>
      <w:color w:val="0563C1" w:themeColor="hyperlink"/>
      <w:u w:val="single"/>
    </w:rPr>
  </w:style>
  <w:style w:type="character" w:customStyle="1" w:styleId="Nierozpoznanawzmianka1">
    <w:name w:val="Nierozpoznana wzmianka1"/>
    <w:basedOn w:val="DefaultParagraphFont"/>
    <w:uiPriority w:val="99"/>
    <w:semiHidden/>
    <w:unhideWhenUsed/>
    <w:rsid w:val="0041327C"/>
    <w:rPr>
      <w:color w:val="605E5C"/>
      <w:shd w:val="clear" w:color="auto" w:fill="E1DFDD"/>
    </w:rPr>
  </w:style>
  <w:style w:type="paragraph" w:customStyle="1" w:styleId="IAHRheader">
    <w:name w:val="IAHR_header"/>
    <w:basedOn w:val="SHHeader"/>
    <w:autoRedefine/>
    <w:qFormat/>
    <w:rsid w:val="004D087A"/>
    <w:rPr>
      <w:rFonts w:ascii="Times New Roman" w:eastAsia="MS Mincho" w:hAnsi="Times New Roman"/>
      <w:lang w:val="en-GB"/>
    </w:rPr>
  </w:style>
  <w:style w:type="paragraph" w:customStyle="1" w:styleId="IAHRtitle">
    <w:name w:val="IAHR_title"/>
    <w:basedOn w:val="SHTitle"/>
    <w:qFormat/>
    <w:rsid w:val="007F0685"/>
  </w:style>
  <w:style w:type="paragraph" w:customStyle="1" w:styleId="IAHRauthor">
    <w:name w:val="IAHR_author"/>
    <w:basedOn w:val="SHAuthor"/>
    <w:autoRedefine/>
    <w:qFormat/>
    <w:rsid w:val="007A13C1"/>
    <w:rPr>
      <w:lang w:val="en-GB"/>
    </w:rPr>
  </w:style>
  <w:style w:type="paragraph" w:customStyle="1" w:styleId="IAHRaffiliation">
    <w:name w:val="IAHR_affiliation"/>
    <w:next w:val="PlainText"/>
    <w:qFormat/>
    <w:rsid w:val="00EB5192"/>
    <w:pPr>
      <w:spacing w:after="0"/>
      <w:jc w:val="center"/>
    </w:pPr>
    <w:rPr>
      <w:rFonts w:ascii="Times New Roman" w:eastAsia="Times New Roman" w:hAnsi="Times New Roman" w:cs="Times New Roman"/>
      <w:iCs/>
      <w:sz w:val="20"/>
      <w:szCs w:val="20"/>
      <w:lang w:val="en-GB" w:eastAsia="pl-PL"/>
    </w:rPr>
  </w:style>
  <w:style w:type="paragraph" w:customStyle="1" w:styleId="IAHRabstract">
    <w:name w:val="IAHR_abstract"/>
    <w:basedOn w:val="Normal"/>
    <w:autoRedefine/>
    <w:qFormat/>
    <w:rsid w:val="009A7FD6"/>
    <w:pPr>
      <w:spacing w:before="480" w:after="120" w:line="240" w:lineRule="auto"/>
      <w:jc w:val="center"/>
    </w:pPr>
    <w:rPr>
      <w:rFonts w:ascii="Times New Roman" w:eastAsia="Times New Roman" w:hAnsi="Times New Roman" w:cs="Times New Roman"/>
      <w:iCs/>
      <w:caps/>
      <w:lang w:val="en-US" w:eastAsia="pl-PL"/>
    </w:rPr>
  </w:style>
  <w:style w:type="paragraph" w:styleId="PlainText">
    <w:name w:val="Plain Text"/>
    <w:basedOn w:val="Normal"/>
    <w:link w:val="PlainTextChar"/>
    <w:uiPriority w:val="99"/>
    <w:semiHidden/>
    <w:unhideWhenUsed/>
    <w:rsid w:val="0057069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70697"/>
    <w:rPr>
      <w:rFonts w:ascii="Consolas" w:hAnsi="Consolas"/>
      <w:sz w:val="21"/>
      <w:szCs w:val="21"/>
    </w:rPr>
  </w:style>
  <w:style w:type="paragraph" w:customStyle="1" w:styleId="IAHRaddress">
    <w:name w:val="IAHR_address"/>
    <w:basedOn w:val="IAHRaffiliation"/>
    <w:autoRedefine/>
    <w:qFormat/>
    <w:rsid w:val="00CF7F11"/>
    <w:pPr>
      <w:spacing w:after="120"/>
    </w:pPr>
  </w:style>
  <w:style w:type="paragraph" w:customStyle="1" w:styleId="Styl1">
    <w:name w:val="Styl1"/>
    <w:basedOn w:val="IAHRaddress"/>
    <w:qFormat/>
    <w:rsid w:val="00926EE1"/>
    <w:pPr>
      <w:spacing w:after="0"/>
    </w:pPr>
  </w:style>
  <w:style w:type="paragraph" w:customStyle="1" w:styleId="IAHRtext">
    <w:name w:val="IAHR_text"/>
    <w:basedOn w:val="SHAbstract-text-noindent"/>
    <w:qFormat/>
    <w:rsid w:val="005C3DF9"/>
    <w:pPr>
      <w:spacing w:before="120"/>
    </w:pPr>
    <w:rPr>
      <w:sz w:val="22"/>
      <w:szCs w:val="22"/>
    </w:rPr>
  </w:style>
  <w:style w:type="paragraph" w:customStyle="1" w:styleId="IAHRfigurecaptio">
    <w:name w:val="IAHR_figure_captio"/>
    <w:basedOn w:val="SHFigurecaption"/>
    <w:autoRedefine/>
    <w:qFormat/>
    <w:rsid w:val="008F5CCD"/>
    <w:pPr>
      <w:spacing w:before="60" w:after="0"/>
    </w:pPr>
    <w:rPr>
      <w:lang w:val="en-GB"/>
    </w:rPr>
  </w:style>
  <w:style w:type="paragraph" w:customStyle="1" w:styleId="IAHRequation">
    <w:name w:val="IAHR_equation"/>
    <w:basedOn w:val="SHEquation"/>
    <w:qFormat/>
    <w:rsid w:val="00372B69"/>
  </w:style>
  <w:style w:type="paragraph" w:customStyle="1" w:styleId="IAHRequationcaption">
    <w:name w:val="IAHR_equation_caption"/>
    <w:basedOn w:val="SHAbstract-text-noindent"/>
    <w:autoRedefine/>
    <w:qFormat/>
    <w:rsid w:val="00577C89"/>
    <w:pPr>
      <w:spacing w:before="60"/>
    </w:pPr>
  </w:style>
  <w:style w:type="paragraph" w:customStyle="1" w:styleId="IAHRheading1">
    <w:name w:val="IAHR_heading1"/>
    <w:basedOn w:val="SHNoindenttext"/>
    <w:autoRedefine/>
    <w:qFormat/>
    <w:rsid w:val="00CC700B"/>
    <w:pPr>
      <w:numPr>
        <w:numId w:val="1"/>
      </w:numPr>
    </w:pPr>
    <w:rPr>
      <w:b/>
      <w:szCs w:val="22"/>
    </w:rPr>
  </w:style>
  <w:style w:type="paragraph" w:customStyle="1" w:styleId="IAHR-heading2">
    <w:name w:val="IAHR-heading2"/>
    <w:basedOn w:val="SHIndenttext"/>
    <w:autoRedefine/>
    <w:qFormat/>
    <w:rsid w:val="00210101"/>
    <w:pPr>
      <w:numPr>
        <w:ilvl w:val="1"/>
        <w:numId w:val="1"/>
      </w:numPr>
      <w:ind w:left="431" w:hanging="431"/>
    </w:pPr>
    <w:rPr>
      <w:i/>
      <w:szCs w:val="22"/>
    </w:rPr>
  </w:style>
  <w:style w:type="paragraph" w:customStyle="1" w:styleId="IAHRindenttext">
    <w:name w:val="IAHR_indent_text"/>
    <w:basedOn w:val="SHIndenttext"/>
    <w:autoRedefine/>
    <w:qFormat/>
    <w:rsid w:val="00210101"/>
    <w:pPr>
      <w:ind w:left="792" w:firstLine="0"/>
    </w:pPr>
    <w:rPr>
      <w:szCs w:val="22"/>
    </w:rPr>
  </w:style>
  <w:style w:type="paragraph" w:customStyle="1" w:styleId="IAHRtableno">
    <w:name w:val="IAHR_table_no"/>
    <w:basedOn w:val="SHTableno"/>
    <w:autoRedefine/>
    <w:qFormat/>
    <w:rsid w:val="00EF044F"/>
    <w:pPr>
      <w:spacing w:before="0"/>
    </w:pPr>
    <w:rPr>
      <w:sz w:val="18"/>
      <w:szCs w:val="18"/>
    </w:rPr>
  </w:style>
  <w:style w:type="paragraph" w:customStyle="1" w:styleId="Styl2">
    <w:name w:val="Styl2"/>
    <w:basedOn w:val="IAHRtableno"/>
    <w:qFormat/>
    <w:rsid w:val="00AC1045"/>
  </w:style>
  <w:style w:type="paragraph" w:customStyle="1" w:styleId="IAHRtabletitle">
    <w:name w:val="IAHR_table_title"/>
    <w:basedOn w:val="Styl2"/>
    <w:autoRedefine/>
    <w:qFormat/>
    <w:rsid w:val="00440BBE"/>
    <w:pPr>
      <w:tabs>
        <w:tab w:val="left" w:pos="5670"/>
      </w:tabs>
      <w:spacing w:after="120"/>
    </w:pPr>
  </w:style>
  <w:style w:type="paragraph" w:customStyle="1" w:styleId="IAHRtabletext">
    <w:name w:val="IAHR_table_text"/>
    <w:basedOn w:val="SHTabletext"/>
    <w:autoRedefine/>
    <w:qFormat/>
    <w:rsid w:val="00577C89"/>
    <w:rPr>
      <w:sz w:val="18"/>
      <w:szCs w:val="18"/>
    </w:rPr>
  </w:style>
  <w:style w:type="paragraph" w:customStyle="1" w:styleId="IAHRreferences">
    <w:name w:val="IAHR_references"/>
    <w:basedOn w:val="IAHRtext"/>
    <w:autoRedefine/>
    <w:qFormat/>
    <w:rsid w:val="00FD2759"/>
    <w:pPr>
      <w:spacing w:before="0"/>
      <w:contextualSpacing/>
    </w:pPr>
    <w:rPr>
      <w:sz w:val="18"/>
    </w:rPr>
  </w:style>
  <w:style w:type="paragraph" w:customStyle="1" w:styleId="Styl3">
    <w:name w:val="Styl3"/>
    <w:basedOn w:val="IAHRreferences"/>
    <w:qFormat/>
    <w:rsid w:val="00FA1EE9"/>
    <w:rPr>
      <w:i/>
    </w:rPr>
  </w:style>
  <w:style w:type="paragraph" w:customStyle="1" w:styleId="Styl4">
    <w:name w:val="Styl4"/>
    <w:basedOn w:val="SHTableno"/>
    <w:qFormat/>
    <w:rsid w:val="001E674F"/>
  </w:style>
  <w:style w:type="paragraph" w:customStyle="1" w:styleId="IAHRfigure">
    <w:name w:val="IAHR_figure"/>
    <w:basedOn w:val="IAHRtext"/>
    <w:qFormat/>
    <w:rsid w:val="00A71EEA"/>
    <w:pPr>
      <w:jc w:val="center"/>
    </w:pPr>
    <w:rPr>
      <w:noProof/>
    </w:rPr>
  </w:style>
  <w:style w:type="paragraph" w:customStyle="1" w:styleId="IAHRackntitle">
    <w:name w:val="IAHR_ackn_title"/>
    <w:basedOn w:val="IAHRtext"/>
    <w:qFormat/>
    <w:rsid w:val="00FD2759"/>
    <w:pPr>
      <w:jc w:val="left"/>
    </w:pPr>
    <w:rPr>
      <w:b/>
      <w:sz w:val="18"/>
    </w:rPr>
  </w:style>
  <w:style w:type="paragraph" w:customStyle="1" w:styleId="IAHRackntext">
    <w:name w:val="IAHR_ackn_text"/>
    <w:basedOn w:val="IAHRtext"/>
    <w:qFormat/>
    <w:rsid w:val="00245C91"/>
    <w:rPr>
      <w:sz w:val="18"/>
    </w:rPr>
  </w:style>
  <w:style w:type="paragraph" w:customStyle="1" w:styleId="IAHRreferencestitle">
    <w:name w:val="IAHR_references_title"/>
    <w:basedOn w:val="IAHRreferences"/>
    <w:next w:val="IAHRreferences"/>
    <w:autoRedefine/>
    <w:qFormat/>
    <w:rsid w:val="00FD2759"/>
    <w:pPr>
      <w:spacing w:before="120" w:after="120"/>
      <w:jc w:val="left"/>
    </w:pPr>
    <w:rPr>
      <w:b/>
    </w:rPr>
  </w:style>
  <w:style w:type="paragraph" w:customStyle="1" w:styleId="p1a">
    <w:name w:val="p1a"/>
    <w:basedOn w:val="Normal"/>
    <w:next w:val="Normal"/>
    <w:rsid w:val="00BA6B56"/>
    <w:pPr>
      <w:overflowPunct w:val="0"/>
      <w:autoSpaceDE w:val="0"/>
      <w:autoSpaceDN w:val="0"/>
      <w:adjustRightInd w:val="0"/>
      <w:spacing w:after="0" w:line="240" w:lineRule="atLeast"/>
      <w:jc w:val="both"/>
      <w:textAlignment w:val="baseline"/>
    </w:pPr>
    <w:rPr>
      <w:rFonts w:ascii="Times" w:eastAsia="Times New Roman" w:hAnsi="Times" w:cs="Times New Roman"/>
      <w:sz w:val="20"/>
      <w:szCs w:val="20"/>
      <w:lang w:val="en-US" w:eastAsia="de-DE"/>
    </w:rPr>
  </w:style>
  <w:style w:type="paragraph" w:styleId="TOC3">
    <w:name w:val="toc 3"/>
    <w:basedOn w:val="TOC1"/>
    <w:semiHidden/>
    <w:rsid w:val="00BA6B56"/>
    <w:pPr>
      <w:tabs>
        <w:tab w:val="right" w:leader="dot" w:pos="6634"/>
      </w:tabs>
      <w:overflowPunct w:val="0"/>
      <w:autoSpaceDE w:val="0"/>
      <w:autoSpaceDN w:val="0"/>
      <w:adjustRightInd w:val="0"/>
      <w:spacing w:after="0" w:line="240" w:lineRule="atLeast"/>
      <w:ind w:left="510"/>
      <w:textAlignment w:val="baseline"/>
    </w:pPr>
    <w:rPr>
      <w:rFonts w:ascii="Times" w:eastAsia="Times New Roman" w:hAnsi="Times" w:cs="Times New Roman"/>
      <w:sz w:val="20"/>
      <w:szCs w:val="20"/>
      <w:lang w:val="en-US" w:eastAsia="de-DE"/>
    </w:rPr>
  </w:style>
  <w:style w:type="paragraph" w:styleId="TOC1">
    <w:name w:val="toc 1"/>
    <w:basedOn w:val="Normal"/>
    <w:next w:val="Normal"/>
    <w:autoRedefine/>
    <w:uiPriority w:val="39"/>
    <w:semiHidden/>
    <w:unhideWhenUsed/>
    <w:rsid w:val="00BA6B56"/>
    <w:pPr>
      <w:spacing w:after="100"/>
    </w:pPr>
  </w:style>
  <w:style w:type="paragraph" w:customStyle="1" w:styleId="BulletItem">
    <w:name w:val="Bullet Item"/>
    <w:basedOn w:val="Normal"/>
    <w:rsid w:val="00360073"/>
    <w:pPr>
      <w:numPr>
        <w:numId w:val="2"/>
      </w:numPr>
      <w:overflowPunct w:val="0"/>
      <w:autoSpaceDE w:val="0"/>
      <w:autoSpaceDN w:val="0"/>
      <w:adjustRightInd w:val="0"/>
      <w:spacing w:before="120" w:after="120" w:line="240" w:lineRule="atLeast"/>
      <w:contextualSpacing/>
      <w:jc w:val="both"/>
      <w:textAlignment w:val="baseline"/>
    </w:pPr>
    <w:rPr>
      <w:rFonts w:ascii="Times" w:eastAsia="Times New Roman" w:hAnsi="Times" w:cs="Times New Roman"/>
      <w:sz w:val="20"/>
      <w:szCs w:val="20"/>
      <w:lang w:val="en-US" w:eastAsia="de-DE"/>
    </w:rPr>
  </w:style>
  <w:style w:type="character" w:styleId="CommentReference">
    <w:name w:val="annotation reference"/>
    <w:basedOn w:val="DefaultParagraphFont"/>
    <w:uiPriority w:val="99"/>
    <w:semiHidden/>
    <w:unhideWhenUsed/>
    <w:rsid w:val="009A5AD4"/>
    <w:rPr>
      <w:sz w:val="16"/>
      <w:szCs w:val="16"/>
    </w:rPr>
  </w:style>
  <w:style w:type="paragraph" w:styleId="CommentText">
    <w:name w:val="annotation text"/>
    <w:basedOn w:val="Normal"/>
    <w:link w:val="CommentTextChar"/>
    <w:uiPriority w:val="99"/>
    <w:semiHidden/>
    <w:unhideWhenUsed/>
    <w:rsid w:val="009A5AD4"/>
    <w:pPr>
      <w:spacing w:line="240" w:lineRule="auto"/>
    </w:pPr>
    <w:rPr>
      <w:sz w:val="20"/>
      <w:szCs w:val="20"/>
    </w:rPr>
  </w:style>
  <w:style w:type="character" w:customStyle="1" w:styleId="CommentTextChar">
    <w:name w:val="Comment Text Char"/>
    <w:basedOn w:val="DefaultParagraphFont"/>
    <w:link w:val="CommentText"/>
    <w:uiPriority w:val="99"/>
    <w:semiHidden/>
    <w:rsid w:val="009A5AD4"/>
    <w:rPr>
      <w:sz w:val="20"/>
      <w:szCs w:val="20"/>
    </w:rPr>
  </w:style>
  <w:style w:type="paragraph" w:styleId="CommentSubject">
    <w:name w:val="annotation subject"/>
    <w:basedOn w:val="CommentText"/>
    <w:next w:val="CommentText"/>
    <w:link w:val="CommentSubjectChar"/>
    <w:uiPriority w:val="99"/>
    <w:semiHidden/>
    <w:unhideWhenUsed/>
    <w:rsid w:val="009A5AD4"/>
    <w:rPr>
      <w:b/>
      <w:bCs/>
    </w:rPr>
  </w:style>
  <w:style w:type="character" w:customStyle="1" w:styleId="CommentSubjectChar">
    <w:name w:val="Comment Subject Char"/>
    <w:basedOn w:val="CommentTextChar"/>
    <w:link w:val="CommentSubject"/>
    <w:uiPriority w:val="99"/>
    <w:semiHidden/>
    <w:rsid w:val="009A5AD4"/>
    <w:rPr>
      <w:b/>
      <w:bCs/>
      <w:sz w:val="20"/>
      <w:szCs w:val="20"/>
    </w:rPr>
  </w:style>
  <w:style w:type="character" w:styleId="UnresolvedMention">
    <w:name w:val="Unresolved Mention"/>
    <w:basedOn w:val="DefaultParagraphFont"/>
    <w:uiPriority w:val="99"/>
    <w:semiHidden/>
    <w:unhideWhenUsed/>
    <w:rsid w:val="000845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teja.skerjanec@fgg.uni-lj.s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asper.rak@fgg.uni-lj.si"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2103</Words>
  <Characters>12534</Characters>
  <Application>Microsoft Office Word</Application>
  <DocSecurity>0</DocSecurity>
  <Lines>159</Lines>
  <Paragraphs>41</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Kalinowska</dc:creator>
  <cp:keywords/>
  <dc:description/>
  <cp:lastModifiedBy>Rak, Gašper</cp:lastModifiedBy>
  <cp:revision>4</cp:revision>
  <cp:lastPrinted>2019-11-08T13:43:00Z</cp:lastPrinted>
  <dcterms:created xsi:type="dcterms:W3CDTF">2024-04-12T13:12:00Z</dcterms:created>
  <dcterms:modified xsi:type="dcterms:W3CDTF">2024-04-12T13:15:00Z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c977b2eb3815c9c7ea62a036e2e946137b049f4462b9c39a2ebaf2442823e194</vt:lpwstr>
  </property>
</Properties>
</file>