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B04F" w14:textId="77777777" w:rsidR="003D0180" w:rsidRDefault="00332222">
      <w:pPr>
        <w:pBdr>
          <w:top w:val="nil"/>
          <w:left w:val="nil"/>
          <w:bottom w:val="nil"/>
          <w:right w:val="nil"/>
          <w:between w:val="nil"/>
        </w:pBdr>
        <w:spacing w:before="120" w:after="0" w:line="240" w:lineRule="auto"/>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786B53C9" wp14:editId="07777777">
            <wp:extent cx="2000250" cy="857250"/>
            <wp:effectExtent l="0" t="0" r="0" b="0"/>
            <wp:docPr id="1738841723" name="image7.png" descr="A picture containing graphics, graphic design, font, colorful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graphics, graphic design, font, colorfulness&#10;&#10;Description automatically generated"/>
                    <pic:cNvPicPr preferRelativeResize="0"/>
                  </pic:nvPicPr>
                  <pic:blipFill>
                    <a:blip r:embed="rId10"/>
                    <a:srcRect/>
                    <a:stretch>
                      <a:fillRect/>
                    </a:stretch>
                  </pic:blipFill>
                  <pic:spPr>
                    <a:xfrm>
                      <a:off x="0" y="0"/>
                      <a:ext cx="2000250" cy="857250"/>
                    </a:xfrm>
                    <a:prstGeom prst="rect">
                      <a:avLst/>
                    </a:prstGeom>
                    <a:ln/>
                  </pic:spPr>
                </pic:pic>
              </a:graphicData>
            </a:graphic>
          </wp:inline>
        </w:drawing>
      </w:r>
      <w:r>
        <w:rPr>
          <w:rFonts w:ascii="Times New Roman" w:eastAsia="Times New Roman" w:hAnsi="Times New Roman" w:cs="Times New Roman"/>
          <w:b/>
          <w:color w:val="000000"/>
        </w:rPr>
        <w:t xml:space="preserve"> </w:t>
      </w:r>
    </w:p>
    <w:p w14:paraId="24A4029D" w14:textId="77777777" w:rsidR="003D0180" w:rsidRDefault="00332222">
      <w:pPr>
        <w:pBdr>
          <w:top w:val="nil"/>
          <w:left w:val="nil"/>
          <w:bottom w:val="nil"/>
          <w:right w:val="nil"/>
          <w:between w:val="nil"/>
        </w:pBdr>
        <w:spacing w:before="600" w:after="2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Methodological Approach for Supporting Socio-Hydrological Modelling of a Complex Nexus System</w:t>
      </w:r>
    </w:p>
    <w:p w14:paraId="18CB54DF" w14:textId="77777777" w:rsidR="003D0180" w:rsidRDefault="00332222">
      <w:pPr>
        <w:pBdr>
          <w:top w:val="nil"/>
          <w:left w:val="nil"/>
          <w:bottom w:val="nil"/>
          <w:right w:val="nil"/>
          <w:between w:val="nil"/>
        </w:pBdr>
        <w:spacing w:after="12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Claudia PANCIERA</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Alessandro PAGANO</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Raffaele GIORDANO</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Ivan PORTOGHESE</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Mert Can GUNACTI</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Sefa Nur YESILYURT</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Mohamed NAJAR</w:t>
      </w:r>
      <w:r>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20"/>
          <w:szCs w:val="20"/>
        </w:rPr>
        <w:t>, Cem Polat CETINKAYA</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Gulay ONUSLUEL GUL</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Estrella LOPEZ</w:t>
      </w:r>
      <w:r>
        <w:rPr>
          <w:rFonts w:ascii="Times New Roman" w:eastAsia="Times New Roman" w:hAnsi="Times New Roman" w:cs="Times New Roman"/>
          <w:color w:val="000000"/>
          <w:sz w:val="20"/>
          <w:szCs w:val="20"/>
          <w:vertAlign w:val="superscript"/>
        </w:rPr>
        <w:t>5</w:t>
      </w:r>
      <w:r>
        <w:rPr>
          <w:rFonts w:ascii="Times New Roman" w:eastAsia="Times New Roman" w:hAnsi="Times New Roman" w:cs="Times New Roman"/>
          <w:color w:val="000000"/>
          <w:sz w:val="20"/>
          <w:szCs w:val="20"/>
        </w:rPr>
        <w:t>, Manuel BEA</w:t>
      </w:r>
      <w:r>
        <w:rPr>
          <w:rFonts w:ascii="Times New Roman" w:eastAsia="Times New Roman" w:hAnsi="Times New Roman" w:cs="Times New Roman"/>
          <w:color w:val="000000"/>
          <w:sz w:val="20"/>
          <w:szCs w:val="20"/>
          <w:vertAlign w:val="superscript"/>
        </w:rPr>
        <w:t>5</w:t>
      </w:r>
    </w:p>
    <w:p w14:paraId="4FE5C7B3" w14:textId="77777777" w:rsidR="003D0180" w:rsidRPr="0028799E" w:rsidRDefault="00332222">
      <w:pPr>
        <w:pBdr>
          <w:top w:val="nil"/>
          <w:left w:val="nil"/>
          <w:bottom w:val="nil"/>
          <w:right w:val="nil"/>
          <w:between w:val="nil"/>
        </w:pBdr>
        <w:spacing w:before="120" w:after="0"/>
        <w:jc w:val="center"/>
        <w:rPr>
          <w:rFonts w:ascii="Times New Roman" w:eastAsia="Times New Roman" w:hAnsi="Times New Roman" w:cs="Times New Roman"/>
          <w:color w:val="000000"/>
          <w:sz w:val="20"/>
          <w:szCs w:val="20"/>
          <w:lang w:val="it-IT"/>
        </w:rPr>
      </w:pPr>
      <w:r w:rsidRPr="0028799E">
        <w:rPr>
          <w:rFonts w:ascii="Times New Roman" w:eastAsia="Times New Roman" w:hAnsi="Times New Roman" w:cs="Times New Roman"/>
          <w:color w:val="000000"/>
          <w:sz w:val="20"/>
          <w:szCs w:val="20"/>
          <w:vertAlign w:val="superscript"/>
          <w:lang w:val="it-IT"/>
        </w:rPr>
        <w:t>1</w:t>
      </w:r>
      <w:r w:rsidRPr="0028799E">
        <w:rPr>
          <w:rFonts w:ascii="Times New Roman" w:eastAsia="Times New Roman" w:hAnsi="Times New Roman" w:cs="Times New Roman"/>
          <w:color w:val="000000"/>
          <w:sz w:val="20"/>
          <w:szCs w:val="20"/>
          <w:lang w:val="it-IT"/>
        </w:rPr>
        <w:t xml:space="preserve"> DICATECh, Politecnico di Bari, Bari, </w:t>
      </w:r>
      <w:proofErr w:type="spellStart"/>
      <w:r w:rsidRPr="0028799E">
        <w:rPr>
          <w:rFonts w:ascii="Times New Roman" w:eastAsia="Times New Roman" w:hAnsi="Times New Roman" w:cs="Times New Roman"/>
          <w:color w:val="000000"/>
          <w:sz w:val="20"/>
          <w:szCs w:val="20"/>
          <w:lang w:val="it-IT"/>
        </w:rPr>
        <w:t>Italy</w:t>
      </w:r>
      <w:proofErr w:type="spellEnd"/>
      <w:r w:rsidRPr="0028799E">
        <w:rPr>
          <w:rFonts w:ascii="Times New Roman" w:eastAsia="Times New Roman" w:hAnsi="Times New Roman" w:cs="Times New Roman"/>
          <w:color w:val="000000"/>
          <w:sz w:val="20"/>
          <w:szCs w:val="20"/>
          <w:lang w:val="it-IT"/>
        </w:rPr>
        <w:t xml:space="preserve">; </w:t>
      </w:r>
      <w:hyperlink r:id="rId11">
        <w:r w:rsidRPr="0028799E">
          <w:rPr>
            <w:rFonts w:ascii="Times New Roman" w:eastAsia="Times New Roman" w:hAnsi="Times New Roman" w:cs="Times New Roman"/>
            <w:color w:val="0563C1"/>
            <w:sz w:val="20"/>
            <w:szCs w:val="20"/>
            <w:u w:val="single"/>
            <w:lang w:val="it-IT"/>
          </w:rPr>
          <w:t>c.panciera@phd.poliba.it</w:t>
        </w:r>
      </w:hyperlink>
      <w:r w:rsidRPr="0028799E">
        <w:rPr>
          <w:rFonts w:ascii="Times New Roman" w:eastAsia="Times New Roman" w:hAnsi="Times New Roman" w:cs="Times New Roman"/>
          <w:color w:val="000000"/>
          <w:sz w:val="20"/>
          <w:szCs w:val="20"/>
          <w:lang w:val="it-IT"/>
        </w:rPr>
        <w:t xml:space="preserve"> </w:t>
      </w:r>
    </w:p>
    <w:p w14:paraId="0EBC5B69" w14:textId="0ED2F0BA" w:rsidR="003D0180" w:rsidRDefault="00332222">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Water Research Institute-National Research Council (CNR</w:t>
      </w:r>
      <w:r w:rsidR="00884670">
        <w:rPr>
          <w:rFonts w:ascii="Times New Roman" w:eastAsia="Times New Roman" w:hAnsi="Times New Roman" w:cs="Times New Roman"/>
          <w:color w:val="000000"/>
          <w:sz w:val="20"/>
          <w:szCs w:val="20"/>
        </w:rPr>
        <w:t>-IRSA</w:t>
      </w:r>
      <w:r>
        <w:rPr>
          <w:rFonts w:ascii="Times New Roman" w:eastAsia="Times New Roman" w:hAnsi="Times New Roman" w:cs="Times New Roman"/>
          <w:color w:val="000000"/>
          <w:sz w:val="20"/>
          <w:szCs w:val="20"/>
        </w:rPr>
        <w:t xml:space="preserve">), Bari, Italy; </w:t>
      </w:r>
      <w:hyperlink r:id="rId12">
        <w:r>
          <w:rPr>
            <w:rFonts w:ascii="Times New Roman" w:eastAsia="Times New Roman" w:hAnsi="Times New Roman" w:cs="Times New Roman"/>
            <w:color w:val="0563C1"/>
            <w:sz w:val="20"/>
            <w:szCs w:val="20"/>
            <w:u w:val="single"/>
          </w:rPr>
          <w:t>alessandro.pagano@cnr.it</w:t>
        </w:r>
      </w:hyperlink>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0563C1"/>
            <w:sz w:val="20"/>
            <w:szCs w:val="20"/>
            <w:u w:val="single"/>
          </w:rPr>
          <w:t>raffaele.giordano@cnr.it</w:t>
        </w:r>
      </w:hyperlink>
      <w:r>
        <w:rPr>
          <w:rFonts w:ascii="Times New Roman" w:eastAsia="Times New Roman" w:hAnsi="Times New Roman" w:cs="Times New Roman"/>
          <w:color w:val="000000"/>
          <w:sz w:val="20"/>
          <w:szCs w:val="20"/>
        </w:rPr>
        <w:t xml:space="preserve"> , </w:t>
      </w:r>
      <w:hyperlink r:id="rId14">
        <w:r>
          <w:rPr>
            <w:rFonts w:ascii="Times New Roman" w:eastAsia="Times New Roman" w:hAnsi="Times New Roman" w:cs="Times New Roman"/>
            <w:color w:val="0563C1"/>
            <w:sz w:val="20"/>
            <w:szCs w:val="20"/>
            <w:u w:val="single"/>
          </w:rPr>
          <w:t>ivan.portoghese@cnr.it</w:t>
        </w:r>
      </w:hyperlink>
      <w:r>
        <w:rPr>
          <w:rFonts w:ascii="Times New Roman" w:eastAsia="Times New Roman" w:hAnsi="Times New Roman" w:cs="Times New Roman"/>
          <w:color w:val="000000"/>
          <w:sz w:val="20"/>
          <w:szCs w:val="20"/>
        </w:rPr>
        <w:t xml:space="preserve"> , </w:t>
      </w:r>
    </w:p>
    <w:p w14:paraId="730AAFFE" w14:textId="77777777" w:rsidR="003D0180" w:rsidRDefault="00332222">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xml:space="preserve"> Dokuz Eylul University, Faculty of Engineering, Department of Civil Engineering, Izmir, Turkey, </w:t>
      </w:r>
      <w:hyperlink r:id="rId15">
        <w:r>
          <w:rPr>
            <w:rFonts w:ascii="Times New Roman" w:eastAsia="Times New Roman" w:hAnsi="Times New Roman" w:cs="Times New Roman"/>
            <w:color w:val="0563C1"/>
            <w:sz w:val="20"/>
            <w:szCs w:val="20"/>
            <w:u w:val="single"/>
          </w:rPr>
          <w:t>mert.gunacti@deu.edu.tr</w:t>
        </w:r>
      </w:hyperlink>
      <w:r>
        <w:rPr>
          <w:rFonts w:ascii="Times New Roman" w:eastAsia="Times New Roman" w:hAnsi="Times New Roman" w:cs="Times New Roman"/>
          <w:color w:val="000000"/>
          <w:sz w:val="20"/>
          <w:szCs w:val="20"/>
        </w:rPr>
        <w:t xml:space="preserve"> , </w:t>
      </w:r>
      <w:hyperlink r:id="rId16">
        <w:r>
          <w:rPr>
            <w:rFonts w:ascii="Times New Roman" w:eastAsia="Times New Roman" w:hAnsi="Times New Roman" w:cs="Times New Roman"/>
            <w:color w:val="0563C1"/>
            <w:sz w:val="20"/>
            <w:szCs w:val="20"/>
            <w:u w:val="single"/>
          </w:rPr>
          <w:t>sefanur.yesilyurt@deu.edu.tr</w:t>
        </w:r>
      </w:hyperlink>
      <w:r>
        <w:rPr>
          <w:rFonts w:ascii="Times New Roman" w:eastAsia="Times New Roman" w:hAnsi="Times New Roman" w:cs="Times New Roman"/>
          <w:color w:val="000000"/>
          <w:sz w:val="20"/>
          <w:szCs w:val="20"/>
        </w:rPr>
        <w:t xml:space="preserve"> , </w:t>
      </w:r>
      <w:hyperlink r:id="rId17">
        <w:r>
          <w:rPr>
            <w:rFonts w:ascii="Times New Roman" w:eastAsia="Times New Roman" w:hAnsi="Times New Roman" w:cs="Times New Roman"/>
            <w:color w:val="0563C1"/>
            <w:sz w:val="20"/>
            <w:szCs w:val="20"/>
            <w:u w:val="single"/>
          </w:rPr>
          <w:t>cem.cetinkaya@deu.edu.tr</w:t>
        </w:r>
      </w:hyperlink>
      <w:r>
        <w:rPr>
          <w:rFonts w:ascii="Times New Roman" w:eastAsia="Times New Roman" w:hAnsi="Times New Roman" w:cs="Times New Roman"/>
          <w:color w:val="000000"/>
          <w:sz w:val="20"/>
          <w:szCs w:val="20"/>
        </w:rPr>
        <w:t xml:space="preserve"> , </w:t>
      </w:r>
      <w:hyperlink r:id="rId18">
        <w:r>
          <w:rPr>
            <w:rFonts w:ascii="Times New Roman" w:eastAsia="Times New Roman" w:hAnsi="Times New Roman" w:cs="Times New Roman"/>
            <w:color w:val="0563C1"/>
            <w:sz w:val="20"/>
            <w:szCs w:val="20"/>
            <w:u w:val="single"/>
          </w:rPr>
          <w:t>gulay.onusluel@deu.edu.tr</w:t>
        </w:r>
      </w:hyperlink>
      <w:r>
        <w:rPr>
          <w:rFonts w:ascii="Times New Roman" w:eastAsia="Times New Roman" w:hAnsi="Times New Roman" w:cs="Times New Roman"/>
          <w:color w:val="000000"/>
          <w:sz w:val="20"/>
          <w:szCs w:val="20"/>
        </w:rPr>
        <w:t xml:space="preserve"> </w:t>
      </w:r>
    </w:p>
    <w:p w14:paraId="1E5F14DF" w14:textId="77777777" w:rsidR="003D0180" w:rsidRDefault="00332222">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20"/>
          <w:szCs w:val="20"/>
        </w:rPr>
        <w:t xml:space="preserve"> GIS Department, Islamic University of Gaza, Gaza, Palestine; </w:t>
      </w:r>
      <w:hyperlink r:id="rId19">
        <w:r>
          <w:rPr>
            <w:rFonts w:ascii="Times New Roman" w:eastAsia="Times New Roman" w:hAnsi="Times New Roman" w:cs="Times New Roman"/>
            <w:color w:val="0563C1"/>
            <w:sz w:val="20"/>
            <w:szCs w:val="20"/>
            <w:u w:val="single"/>
          </w:rPr>
          <w:t>eng.mhmd.najar@gmail.com</w:t>
        </w:r>
      </w:hyperlink>
      <w:r>
        <w:rPr>
          <w:rFonts w:ascii="Times New Roman" w:eastAsia="Times New Roman" w:hAnsi="Times New Roman" w:cs="Times New Roman"/>
          <w:color w:val="000000"/>
          <w:sz w:val="20"/>
          <w:szCs w:val="20"/>
        </w:rPr>
        <w:t xml:space="preserve"> ,</w:t>
      </w:r>
    </w:p>
    <w:p w14:paraId="1D2158B9" w14:textId="77777777" w:rsidR="003D0180" w:rsidRDefault="00332222">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5,</w:t>
      </w:r>
      <w:r>
        <w:rPr>
          <w:rFonts w:ascii="Times New Roman" w:eastAsia="Times New Roman" w:hAnsi="Times New Roman" w:cs="Times New Roman"/>
          <w:color w:val="000000"/>
          <w:sz w:val="20"/>
          <w:szCs w:val="20"/>
        </w:rPr>
        <w:t xml:space="preserve"> Asociaciòn ECOADAPTA, Madrid, Spain, </w:t>
      </w:r>
      <w:hyperlink r:id="rId20">
        <w:r>
          <w:rPr>
            <w:rFonts w:ascii="Times New Roman" w:eastAsia="Times New Roman" w:hAnsi="Times New Roman" w:cs="Times New Roman"/>
            <w:color w:val="0563C1"/>
            <w:sz w:val="20"/>
            <w:szCs w:val="20"/>
            <w:u w:val="single"/>
          </w:rPr>
          <w:t>estrellalm@ecoadapta.org</w:t>
        </w:r>
      </w:hyperlink>
      <w:r>
        <w:rPr>
          <w:rFonts w:ascii="Times New Roman" w:eastAsia="Times New Roman" w:hAnsi="Times New Roman" w:cs="Times New Roman"/>
          <w:color w:val="000000"/>
          <w:sz w:val="20"/>
          <w:szCs w:val="20"/>
        </w:rPr>
        <w:t xml:space="preserve"> , </w:t>
      </w:r>
      <w:hyperlink r:id="rId21">
        <w:r>
          <w:rPr>
            <w:rFonts w:ascii="Times New Roman" w:eastAsia="Times New Roman" w:hAnsi="Times New Roman" w:cs="Times New Roman"/>
            <w:color w:val="0563C1"/>
            <w:sz w:val="20"/>
            <w:szCs w:val="20"/>
            <w:u w:val="single"/>
          </w:rPr>
          <w:t>manuelbm@ecoadapta.org</w:t>
        </w:r>
      </w:hyperlink>
      <w:r>
        <w:rPr>
          <w:rFonts w:ascii="Times New Roman" w:eastAsia="Times New Roman" w:hAnsi="Times New Roman" w:cs="Times New Roman"/>
          <w:color w:val="000000"/>
          <w:sz w:val="20"/>
          <w:szCs w:val="20"/>
        </w:rPr>
        <w:t xml:space="preserve">  </w:t>
      </w:r>
    </w:p>
    <w:p w14:paraId="7CBFD60A" w14:textId="77777777" w:rsidR="003D0180" w:rsidRDefault="00332222">
      <w:pPr>
        <w:pBdr>
          <w:top w:val="nil"/>
          <w:left w:val="nil"/>
          <w:bottom w:val="nil"/>
          <w:right w:val="nil"/>
          <w:between w:val="nil"/>
        </w:pBdr>
        <w:spacing w:before="480" w:after="120" w:line="240" w:lineRule="auto"/>
        <w:jc w:val="center"/>
        <w:rPr>
          <w:rFonts w:ascii="Times New Roman" w:eastAsia="Times New Roman" w:hAnsi="Times New Roman" w:cs="Times New Roman"/>
          <w:smallCaps/>
          <w:color w:val="000000"/>
        </w:rPr>
      </w:pPr>
      <w:r w:rsidRPr="4B07FD26">
        <w:rPr>
          <w:rFonts w:ascii="Times New Roman" w:eastAsia="Times New Roman" w:hAnsi="Times New Roman" w:cs="Times New Roman"/>
          <w:smallCaps/>
          <w:color w:val="000000" w:themeColor="text1"/>
        </w:rPr>
        <w:t>Abstract</w:t>
      </w:r>
    </w:p>
    <w:p w14:paraId="70E96FBF" w14:textId="3D48D392" w:rsidR="704A7597" w:rsidRDefault="704A7597" w:rsidP="0028799E">
      <w:pPr>
        <w:spacing w:before="120" w:after="0"/>
        <w:jc w:val="both"/>
        <w:rPr>
          <w:rFonts w:ascii="Times New Roman" w:eastAsia="Times New Roman" w:hAnsi="Times New Roman" w:cs="Times New Roman"/>
        </w:rPr>
      </w:pPr>
      <w:r w:rsidRPr="4B07FD26">
        <w:rPr>
          <w:rFonts w:ascii="Times New Roman" w:eastAsia="Times New Roman" w:hAnsi="Times New Roman" w:cs="Times New Roman"/>
        </w:rPr>
        <w:t>The Water-Ecosystems-Food Nexus is increasingly studied and adopted both in the research and in the policy fields, since there is evidence of the side effects of sectoral policies implemented without considering any cross-sectoral analysis (Sušnik et al., 2021). In a scenario of accelerated changes, both from a climatic and socio-economic point of view (demographic and economic expansion), natural resources such as water are constantly threatened by competing multiple sectors such as agriculture, tourism, industry and environment (Karamouz et al., 2021). The complexity of natural resources management becomes more critical in areas where natural reserves are jeopardized by human action, such as the Doñana National Park, a coastal area in SW Spain where the environmental and economic interests have varied over time with increasing contrasts among stakeholders. The LENSES project is operating in the Doñana area (as one of the case studies in the Mediterranean area), with the objective to propose a new approach based on Participatory System Dynamic Modelling (PSDM) to recognize the major challenges and the drivers for the system, ultimately suggesting potential actions/strategies, using a Nexus approach. Our work focuses on the assessment of the system under current and future conditions, integrating PSDM with other sectoral models (in particular, hydrological modeling and water resources allocation). This integrated model supports decision making processes in view of the implementation of Nexus approaches, to make the system resilient and more sustainable over time.</w:t>
      </w:r>
    </w:p>
    <w:p w14:paraId="672A6659" w14:textId="77777777" w:rsidR="003D0180" w:rsidRDefault="003D0180">
      <w:p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p>
    <w:p w14:paraId="3E7A9F1C" w14:textId="77777777" w:rsidR="003D0180" w:rsidRDefault="00332222">
      <w:pPr>
        <w:numPr>
          <w:ilvl w:val="0"/>
          <w:numId w:val="1"/>
        </w:numPr>
        <w:pBdr>
          <w:top w:val="nil"/>
          <w:left w:val="nil"/>
          <w:bottom w:val="nil"/>
          <w:right w:val="nil"/>
          <w:between w:val="nil"/>
        </w:pBdr>
        <w:tabs>
          <w:tab w:val="left" w:pos="567"/>
          <w:tab w:val="left" w:pos="1843"/>
        </w:tabs>
        <w:spacing w:before="120" w:after="0" w:line="240" w:lineRule="auto"/>
        <w:jc w:val="both"/>
      </w:pPr>
      <w:r>
        <w:rPr>
          <w:rFonts w:ascii="Times New Roman" w:eastAsia="Times New Roman" w:hAnsi="Times New Roman" w:cs="Times New Roman"/>
          <w:b/>
          <w:color w:val="000000"/>
        </w:rPr>
        <w:t>Introduction</w:t>
      </w:r>
    </w:p>
    <w:p w14:paraId="1427828A" w14:textId="4D69CCB6" w:rsidR="003D0180" w:rsidRDefault="00332222" w:rsidP="00C31832">
      <w:pPr>
        <w:pStyle w:val="IAHRtext"/>
      </w:pPr>
      <w:r w:rsidRPr="4B07FD26">
        <w:t xml:space="preserve">In a historical period denoted by very strong demographic expansion and </w:t>
      </w:r>
      <w:r w:rsidR="02B05276" w:rsidRPr="4B07FD26">
        <w:t>economic growth</w:t>
      </w:r>
      <w:r w:rsidRPr="4B07FD26">
        <w:t xml:space="preserve">, challenges for the allocation and management of the water resource are increasingly articulated. Such a period </w:t>
      </w:r>
      <w:r w:rsidR="02917F4C" w:rsidRPr="4B07FD26">
        <w:t xml:space="preserve">with its </w:t>
      </w:r>
      <w:r w:rsidRPr="4B07FD26">
        <w:t xml:space="preserve">infrastructural and technological expansion </w:t>
      </w:r>
      <w:r w:rsidR="00F80500">
        <w:t>has been</w:t>
      </w:r>
      <w:r w:rsidR="00F80500" w:rsidRPr="4B07FD26">
        <w:t xml:space="preserve"> </w:t>
      </w:r>
      <w:r w:rsidR="3E0A35D8" w:rsidRPr="4B07FD26">
        <w:t xml:space="preserve">so much impacting on natural resources </w:t>
      </w:r>
      <w:r w:rsidR="526EC899" w:rsidRPr="4B07FD26">
        <w:t xml:space="preserve">with </w:t>
      </w:r>
      <w:r w:rsidRPr="4B07FD26">
        <w:t>pressure in any sector, including water use, that it is precisely named "Anthropocene" (Falkenmark et al., 2018). When the resource is used in one sector, such as irrigation for food production, it is obviously taken away from other sectors, such as ecosystem services or urban water supply (De Roo, 2021). It is for this reason that it is no longer possible to study or manage a resource by referring to a single area of use, but these must be studied by cross-sectoral analysis both from the perspective of scientific research and from the consequent field of policies (Sušnik et al., 2021)</w:t>
      </w:r>
      <w:r w:rsidR="58512CDB" w:rsidRPr="4B07FD26">
        <w:t>. Therefore</w:t>
      </w:r>
      <w:r w:rsidR="4B99698B" w:rsidRPr="4B07FD26">
        <w:t>,</w:t>
      </w:r>
      <w:r w:rsidR="58512CDB" w:rsidRPr="4B07FD26">
        <w:t xml:space="preserve"> </w:t>
      </w:r>
      <w:r w:rsidRPr="4B07FD26">
        <w:t xml:space="preserve">the Nexus </w:t>
      </w:r>
      <w:r w:rsidR="2E9F0778" w:rsidRPr="4B07FD26">
        <w:t xml:space="preserve">approach </w:t>
      </w:r>
      <w:r w:rsidRPr="4B07FD26">
        <w:t xml:space="preserve">can be focused on various natural and anthropogenic aspects, and in this </w:t>
      </w:r>
      <w:r w:rsidR="0D634D04" w:rsidRPr="4B07FD26">
        <w:t>study,</w:t>
      </w:r>
      <w:r w:rsidRPr="4B07FD26">
        <w:t xml:space="preserve"> </w:t>
      </w:r>
      <w:r w:rsidR="36C41DBB" w:rsidRPr="4B07FD26">
        <w:t xml:space="preserve">the </w:t>
      </w:r>
      <w:r w:rsidRPr="4B07FD26">
        <w:t>Water-Ecosystems-Food Nexus</w:t>
      </w:r>
      <w:r w:rsidR="3AC675F1" w:rsidRPr="4B07FD26">
        <w:t xml:space="preserve"> is specifically investigated</w:t>
      </w:r>
      <w:r w:rsidRPr="4B07FD26">
        <w:t>. In addition to managing the conflict between the various components already known such as agriculture, tourism, industry, environment, and urban supply, one of the greatest challenges of the Nexus is to cope with climate change</w:t>
      </w:r>
      <w:r w:rsidR="2D2E947D" w:rsidRPr="4B07FD26">
        <w:t xml:space="preserve"> </w:t>
      </w:r>
      <w:r w:rsidR="64E8B128" w:rsidRPr="4B07FD26">
        <w:t xml:space="preserve">and </w:t>
      </w:r>
      <w:r w:rsidR="64E8B128" w:rsidRPr="4B07FD26">
        <w:lastRenderedPageBreak/>
        <w:t xml:space="preserve">its unknown </w:t>
      </w:r>
      <w:r w:rsidRPr="4B07FD26">
        <w:t>impact</w:t>
      </w:r>
      <w:r w:rsidR="6F22FE0A" w:rsidRPr="4B07FD26">
        <w:t>s</w:t>
      </w:r>
      <w:r w:rsidRPr="4B07FD26">
        <w:t xml:space="preserve"> in conjunction with other factors such as demographic </w:t>
      </w:r>
      <w:r w:rsidR="47758B80" w:rsidRPr="4B07FD26">
        <w:t xml:space="preserve">pressure </w:t>
      </w:r>
      <w:r w:rsidRPr="4B07FD26">
        <w:t>(Buytaert et al., 2012). Implementing Nexus-based solutions is even more complex but necessary in areas where the environmental component is substantial but constantly threatened by anthropization</w:t>
      </w:r>
      <w:r w:rsidR="7AEA251B" w:rsidRPr="4B07FD26">
        <w:t xml:space="preserve">. </w:t>
      </w:r>
      <w:r w:rsidR="56B114CD" w:rsidRPr="4B07FD26">
        <w:t>A</w:t>
      </w:r>
      <w:r w:rsidRPr="4B07FD26">
        <w:t xml:space="preserve"> striking example </w:t>
      </w:r>
      <w:r w:rsidR="41C91933" w:rsidRPr="4B07FD26">
        <w:t xml:space="preserve">in this sense </w:t>
      </w:r>
      <w:r w:rsidR="4939A554" w:rsidRPr="4B07FD26">
        <w:t xml:space="preserve">are </w:t>
      </w:r>
      <w:r w:rsidRPr="4B07FD26">
        <w:t>wetlands</w:t>
      </w:r>
      <w:r w:rsidR="3EED3C6D" w:rsidRPr="4B07FD26">
        <w:t xml:space="preserve"> which are</w:t>
      </w:r>
      <w:r w:rsidRPr="4B07FD26">
        <w:t xml:space="preserve"> delicate areas </w:t>
      </w:r>
      <w:r w:rsidR="2FFC4544" w:rsidRPr="4B07FD26">
        <w:t xml:space="preserve">scattered all over the planet </w:t>
      </w:r>
      <w:r w:rsidRPr="4B07FD26">
        <w:t xml:space="preserve">that provide significant ecosystem services </w:t>
      </w:r>
      <w:r w:rsidR="693BC7F7" w:rsidRPr="4B07FD26">
        <w:t xml:space="preserve">though they are often characterized </w:t>
      </w:r>
      <w:r w:rsidRPr="4B07FD26">
        <w:t xml:space="preserve">by the lack of gauges for the identification of trends and implementation of </w:t>
      </w:r>
      <w:r w:rsidR="1CB9752E" w:rsidRPr="4B07FD26">
        <w:t xml:space="preserve">conservation measures </w:t>
      </w:r>
      <w:r w:rsidR="647B2660" w:rsidRPr="4B07FD26">
        <w:t xml:space="preserve">to contrast </w:t>
      </w:r>
      <w:r w:rsidRPr="4B07FD26">
        <w:t xml:space="preserve">climate variability </w:t>
      </w:r>
      <w:r w:rsidR="6456AFFE" w:rsidRPr="4B07FD26">
        <w:t xml:space="preserve">and </w:t>
      </w:r>
      <w:r w:rsidRPr="4B07FD26">
        <w:t>to define adaptation policies (Erwin,</w:t>
      </w:r>
      <w:r w:rsidR="00D16A66">
        <w:t xml:space="preserve"> </w:t>
      </w:r>
      <w:r w:rsidRPr="4B07FD26">
        <w:t>2009; Gallant,</w:t>
      </w:r>
      <w:r w:rsidR="00D16A66">
        <w:t xml:space="preserve"> </w:t>
      </w:r>
      <w:r w:rsidRPr="4B07FD26">
        <w:t xml:space="preserve">2015). In such contexts, more than in others, it is necessary to implement </w:t>
      </w:r>
      <w:r w:rsidR="5D564C4A" w:rsidRPr="4B07FD26">
        <w:t xml:space="preserve">suitable </w:t>
      </w:r>
      <w:r w:rsidRPr="4B07FD26">
        <w:t>model</w:t>
      </w:r>
      <w:r w:rsidR="62166393" w:rsidRPr="4B07FD26">
        <w:t>s</w:t>
      </w:r>
      <w:r w:rsidRPr="4B07FD26">
        <w:t xml:space="preserve"> to support management</w:t>
      </w:r>
      <w:r w:rsidR="38424D10" w:rsidRPr="4B07FD26">
        <w:t xml:space="preserve"> strategies</w:t>
      </w:r>
      <w:r w:rsidRPr="4B07FD26">
        <w:t xml:space="preserve">, which </w:t>
      </w:r>
      <w:r w:rsidR="326F76A5" w:rsidRPr="4B07FD26">
        <w:t xml:space="preserve">are </w:t>
      </w:r>
      <w:r w:rsidRPr="4B07FD26">
        <w:t>as inclusive as possible of all the parties involved</w:t>
      </w:r>
      <w:r w:rsidR="3A333117" w:rsidRPr="4B07FD26">
        <w:t xml:space="preserve">. </w:t>
      </w:r>
      <w:r w:rsidR="2160B925" w:rsidRPr="4B07FD26">
        <w:t>I</w:t>
      </w:r>
      <w:r w:rsidRPr="4B07FD26">
        <w:t>n this article</w:t>
      </w:r>
      <w:r w:rsidR="00D16A66">
        <w:t>,</w:t>
      </w:r>
      <w:r w:rsidRPr="4B07FD26">
        <w:t xml:space="preserve"> this modelling effort is implemented in the case of Doñana Natural Park, </w:t>
      </w:r>
      <w:r w:rsidR="654F027B" w:rsidRPr="4B07FD26">
        <w:t xml:space="preserve">a </w:t>
      </w:r>
      <w:r w:rsidRPr="4B07FD26">
        <w:t xml:space="preserve">coastal area in SW Spain overlooking the Atlantic Ocean, </w:t>
      </w:r>
      <w:r w:rsidR="7DCACA69" w:rsidRPr="4B07FD26">
        <w:t xml:space="preserve">which is among the </w:t>
      </w:r>
      <w:r w:rsidRPr="4B07FD26">
        <w:t>pilot case</w:t>
      </w:r>
      <w:r w:rsidR="70AD5CD1" w:rsidRPr="4B07FD26">
        <w:t>s</w:t>
      </w:r>
      <w:r w:rsidR="00D16A66">
        <w:t xml:space="preserve"> </w:t>
      </w:r>
      <w:r w:rsidRPr="4B07FD26">
        <w:t xml:space="preserve">of the </w:t>
      </w:r>
      <w:r w:rsidR="752B002C" w:rsidRPr="4B07FD26">
        <w:t xml:space="preserve">LENSES </w:t>
      </w:r>
      <w:r w:rsidRPr="4B07FD26">
        <w:t xml:space="preserve">project with the aim of developing a Participatory System Dynamics Modelling (PSDM) for the implementation of </w:t>
      </w:r>
      <w:r w:rsidR="779E69F6" w:rsidRPr="4B07FD26">
        <w:t xml:space="preserve">inter-sectoral </w:t>
      </w:r>
      <w:r w:rsidRPr="4B07FD26">
        <w:t xml:space="preserve">strategies </w:t>
      </w:r>
      <w:r w:rsidR="4A23AFC7" w:rsidRPr="4B07FD26">
        <w:t>for the integrated water resources management</w:t>
      </w:r>
      <w:r w:rsidRPr="4B07FD26">
        <w:t xml:space="preserve">. This type of modelling needs an integrated approach, composed </w:t>
      </w:r>
      <w:r w:rsidR="00D16A66">
        <w:t>of</w:t>
      </w:r>
      <w:r w:rsidR="00D16A66" w:rsidRPr="4B07FD26">
        <w:t xml:space="preserve"> </w:t>
      </w:r>
      <w:r w:rsidRPr="4B07FD26">
        <w:t xml:space="preserve">the </w:t>
      </w:r>
      <w:r w:rsidR="39DCDA33" w:rsidRPr="4B07FD26">
        <w:t xml:space="preserve">combination </w:t>
      </w:r>
      <w:r w:rsidRPr="4B07FD26">
        <w:t xml:space="preserve">of sectoral models that not only allow framing and management of the current situation but </w:t>
      </w:r>
      <w:r w:rsidR="6C38C4BE" w:rsidRPr="4B07FD26">
        <w:t xml:space="preserve">also the </w:t>
      </w:r>
      <w:r w:rsidR="5FA181AB" w:rsidRPr="4B07FD26">
        <w:t xml:space="preserve">evaluation </w:t>
      </w:r>
      <w:r w:rsidRPr="4B07FD26">
        <w:t xml:space="preserve">of scenarios and comparison between them to obtain optimal solutions for the future management of the water resource. </w:t>
      </w:r>
      <w:r w:rsidR="00F4579C">
        <w:t xml:space="preserve">In this context, HEC-HMS and WEAP software are used to model the rainfall-runoff processes and water allocation practices realized in the study area. </w:t>
      </w:r>
      <w:r w:rsidR="00C31832">
        <w:t xml:space="preserve">The U.S. Army Corps of Engineers developed the </w:t>
      </w:r>
      <w:r w:rsidR="00652D83">
        <w:t>open-source</w:t>
      </w:r>
      <w:r w:rsidR="00C31832">
        <w:t>, physically based HEC-HMS rainfall-runoff model (</w:t>
      </w:r>
      <w:hyperlink r:id="rId22" w:history="1">
        <w:r w:rsidR="00C31832" w:rsidRPr="00E63818">
          <w:rPr>
            <w:rStyle w:val="Collegamentoipertestuale"/>
          </w:rPr>
          <w:t>http://www.hec.usace.army.mil/software/hec-hms</w:t>
        </w:r>
      </w:hyperlink>
      <w:r w:rsidR="00C31832">
        <w:t>). It has been a staple for researchers to investigate event-based or continuous rainfall-runoff processes (</w:t>
      </w:r>
      <w:r w:rsidR="00652D83">
        <w:t xml:space="preserve">Hamdan et al., 2021; Sahu et al., 2023). The results of the HEC-HMS have been integrated then into the WEAP water allocation model, which has been developed </w:t>
      </w:r>
      <w:r w:rsidR="00652D83" w:rsidRPr="00652D83">
        <w:t>by the Stockholm Environment Institute (SEI)</w:t>
      </w:r>
      <w:r w:rsidR="00652D83">
        <w:t xml:space="preserve"> (Yates et al., 2005). WEAP </w:t>
      </w:r>
      <w:r w:rsidR="001C35AD">
        <w:t>allows users to define and model complex water allocation topologies with built-in models to calculate various processes such as evaporation, snow-melt, crop water requirement, surface/groundwater interaction and etc.</w:t>
      </w:r>
      <w:r w:rsidR="00652D83">
        <w:t xml:space="preserve"> </w:t>
      </w:r>
      <w:r w:rsidRPr="4B07FD26">
        <w:t xml:space="preserve">In this study, the criticalities </w:t>
      </w:r>
      <w:r w:rsidR="15C563D8" w:rsidRPr="4B07FD26">
        <w:t xml:space="preserve">found in linking the various models are analyzed </w:t>
      </w:r>
      <w:r w:rsidR="761D0C6D" w:rsidRPr="4B07FD26">
        <w:t xml:space="preserve">and some solutions and </w:t>
      </w:r>
      <w:r w:rsidR="410AEC45" w:rsidRPr="4B07FD26">
        <w:t xml:space="preserve">preliminary </w:t>
      </w:r>
      <w:r w:rsidR="761D0C6D" w:rsidRPr="4B07FD26">
        <w:t xml:space="preserve">output </w:t>
      </w:r>
      <w:r w:rsidRPr="4B07FD26">
        <w:t>from each type of model</w:t>
      </w:r>
      <w:r w:rsidR="5F7F45D3" w:rsidRPr="4B07FD26">
        <w:t xml:space="preserve"> are presented</w:t>
      </w:r>
      <w:r w:rsidRPr="4B07FD26">
        <w:t>.</w:t>
      </w:r>
    </w:p>
    <w:p w14:paraId="0A37501D"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30774EAD" w14:textId="77777777" w:rsidR="003D0180" w:rsidRDefault="00332222">
      <w:pPr>
        <w:numPr>
          <w:ilvl w:val="0"/>
          <w:numId w:val="1"/>
        </w:numPr>
        <w:pBdr>
          <w:top w:val="nil"/>
          <w:left w:val="nil"/>
          <w:bottom w:val="nil"/>
          <w:right w:val="nil"/>
          <w:between w:val="nil"/>
        </w:pBdr>
        <w:tabs>
          <w:tab w:val="left" w:pos="567"/>
          <w:tab w:val="left" w:pos="1843"/>
        </w:tabs>
        <w:spacing w:before="120" w:after="0" w:line="240" w:lineRule="auto"/>
        <w:jc w:val="both"/>
      </w:pPr>
      <w:r w:rsidRPr="4B07FD26">
        <w:rPr>
          <w:rFonts w:ascii="Times New Roman" w:eastAsia="Times New Roman" w:hAnsi="Times New Roman" w:cs="Times New Roman"/>
          <w:b/>
          <w:bCs/>
          <w:color w:val="000000" w:themeColor="text1"/>
        </w:rPr>
        <w:t>The case-study</w:t>
      </w:r>
    </w:p>
    <w:p w14:paraId="7557E5DD" w14:textId="6EDF4458" w:rsidR="003D0180" w:rsidRDefault="2ABAC7E0" w:rsidP="0028799E">
      <w:pPr>
        <w:spacing w:before="120" w:after="0" w:line="240" w:lineRule="auto"/>
        <w:jc w:val="both"/>
        <w:rPr>
          <w:rFonts w:ascii="Times New Roman" w:eastAsia="Times New Roman" w:hAnsi="Times New Roman" w:cs="Times New Roman"/>
          <w:color w:val="000000" w:themeColor="text1"/>
        </w:rPr>
      </w:pPr>
      <w:r w:rsidRPr="4B07FD26">
        <w:rPr>
          <w:rFonts w:ascii="Times New Roman" w:eastAsia="Times New Roman" w:hAnsi="Times New Roman" w:cs="Times New Roman"/>
        </w:rPr>
        <w:t xml:space="preserve">The Doñana region, which covers one of the most important wetlands in Europe, is an area between the Tinto River and Guadiamar River estuary and overlooks the Atlantic. </w:t>
      </w:r>
      <w:r w:rsidR="69DCAED5" w:rsidRPr="4B07FD26">
        <w:rPr>
          <w:rFonts w:ascii="Times New Roman" w:eastAsia="Times New Roman" w:hAnsi="Times New Roman" w:cs="Times New Roman"/>
          <w:color w:val="000000" w:themeColor="text1"/>
        </w:rPr>
        <w:t>Placed in southwest Spain, the area includes the provinces of Huelva, Sevilla</w:t>
      </w:r>
      <w:r w:rsidR="00FB734F">
        <w:rPr>
          <w:rFonts w:ascii="Times New Roman" w:eastAsia="Times New Roman" w:hAnsi="Times New Roman" w:cs="Times New Roman"/>
          <w:color w:val="000000" w:themeColor="text1"/>
        </w:rPr>
        <w:t>,</w:t>
      </w:r>
      <w:r w:rsidR="69DCAED5" w:rsidRPr="4B07FD26">
        <w:rPr>
          <w:rFonts w:ascii="Times New Roman" w:eastAsia="Times New Roman" w:hAnsi="Times New Roman" w:cs="Times New Roman"/>
          <w:color w:val="000000" w:themeColor="text1"/>
        </w:rPr>
        <w:t xml:space="preserve"> and Cadiz. The climatic area is Mediterranean, characterized by </w:t>
      </w:r>
      <w:r w:rsidR="00FB734F">
        <w:rPr>
          <w:rFonts w:ascii="Times New Roman" w:eastAsia="Times New Roman" w:hAnsi="Times New Roman" w:cs="Times New Roman"/>
          <w:color w:val="000000" w:themeColor="text1"/>
        </w:rPr>
        <w:t xml:space="preserve">a </w:t>
      </w:r>
      <w:r w:rsidR="69DCAED5" w:rsidRPr="4B07FD26">
        <w:rPr>
          <w:rFonts w:ascii="Times New Roman" w:eastAsia="Times New Roman" w:hAnsi="Times New Roman" w:cs="Times New Roman"/>
          <w:color w:val="000000" w:themeColor="text1"/>
        </w:rPr>
        <w:t xml:space="preserve">sub-humid climate with mild winters (4.6°C </w:t>
      </w:r>
      <w:r w:rsidR="00FB734F">
        <w:rPr>
          <w:rFonts w:ascii="Times New Roman" w:eastAsia="Times New Roman" w:hAnsi="Times New Roman" w:cs="Times New Roman"/>
          <w:color w:val="000000" w:themeColor="text1"/>
        </w:rPr>
        <w:t>on</w:t>
      </w:r>
      <w:r w:rsidR="00FB734F" w:rsidRPr="4B07FD26">
        <w:rPr>
          <w:rFonts w:ascii="Times New Roman" w:eastAsia="Times New Roman" w:hAnsi="Times New Roman" w:cs="Times New Roman"/>
          <w:color w:val="000000" w:themeColor="text1"/>
        </w:rPr>
        <w:t xml:space="preserve"> </w:t>
      </w:r>
      <w:r w:rsidR="69DCAED5" w:rsidRPr="4B07FD26">
        <w:rPr>
          <w:rFonts w:ascii="Times New Roman" w:eastAsia="Times New Roman" w:hAnsi="Times New Roman" w:cs="Times New Roman"/>
          <w:color w:val="000000" w:themeColor="text1"/>
        </w:rPr>
        <w:t>average for January) and very hot summers (34°C in July). The average precipitation is 540 mm/yr, but this is relatively indicative because the area, under the influence of Atlantic currents, is characterized by a great climatic variability with dry years followed by an extremely rainy and above-average year, or vice versa (Green et al., 2016). Climate variability plays a great role for the purposes of this study as this aspect reflects on various processes making this socio-hydrological system particularly complex to analyze.</w:t>
      </w:r>
      <w:r w:rsidR="00FB734F">
        <w:rPr>
          <w:rFonts w:ascii="Times New Roman" w:eastAsia="Times New Roman" w:hAnsi="Times New Roman" w:cs="Times New Roman"/>
          <w:color w:val="000000" w:themeColor="text1"/>
        </w:rPr>
        <w:t xml:space="preserve"> </w:t>
      </w:r>
      <w:r w:rsidR="39B9F823" w:rsidRPr="4B07FD26">
        <w:rPr>
          <w:rFonts w:ascii="Times New Roman" w:eastAsia="Times New Roman" w:hAnsi="Times New Roman" w:cs="Times New Roman"/>
          <w:color w:val="000000" w:themeColor="text1"/>
        </w:rPr>
        <w:t>Due to its geological and morphological conformation straddling two continents, in which water constitutes the main element of feeding and connection, Doñana hosts natural areas with different characteristics such as marshland, coastal temporary lagoons protected by dunes of stabilized sands, areas with varied vegetation (grasslands, woodlands, scrublands) (Aldaya et al., 2010).</w:t>
      </w:r>
      <w:r w:rsidR="39B9F823" w:rsidRPr="4B07FD26">
        <w:rPr>
          <w:rFonts w:ascii="Times New Roman" w:eastAsia="Times New Roman" w:hAnsi="Times New Roman" w:cs="Times New Roman"/>
        </w:rPr>
        <w:t xml:space="preserve"> </w:t>
      </w:r>
      <w:r w:rsidRPr="4B07FD26">
        <w:rPr>
          <w:rFonts w:ascii="Times New Roman" w:eastAsia="Times New Roman" w:hAnsi="Times New Roman" w:cs="Times New Roman"/>
        </w:rPr>
        <w:t xml:space="preserve">It is historically considered a place of high naturalistic value as well as a notable biodiversity hub straddling two continents (Serrano, 2016). </w:t>
      </w:r>
      <w:r w:rsidR="00FB734F">
        <w:rPr>
          <w:rFonts w:ascii="Times New Roman" w:eastAsia="Times New Roman" w:hAnsi="Times New Roman" w:cs="Times New Roman"/>
          <w:color w:val="000000" w:themeColor="text1"/>
        </w:rPr>
        <w:t>For</w:t>
      </w:r>
      <w:r w:rsidR="00FB734F" w:rsidRPr="4B07FD26">
        <w:rPr>
          <w:rFonts w:ascii="Times New Roman" w:eastAsia="Times New Roman" w:hAnsi="Times New Roman" w:cs="Times New Roman"/>
          <w:color w:val="000000" w:themeColor="text1"/>
        </w:rPr>
        <w:t xml:space="preserve"> </w:t>
      </w:r>
      <w:r w:rsidR="36DB4A0D" w:rsidRPr="4B07FD26">
        <w:rPr>
          <w:rFonts w:ascii="Times New Roman" w:eastAsia="Times New Roman" w:hAnsi="Times New Roman" w:cs="Times New Roman"/>
          <w:color w:val="000000" w:themeColor="text1"/>
        </w:rPr>
        <w:t>decades</w:t>
      </w:r>
      <w:r w:rsidR="00FB734F">
        <w:rPr>
          <w:rFonts w:ascii="Times New Roman" w:eastAsia="Times New Roman" w:hAnsi="Times New Roman" w:cs="Times New Roman"/>
          <w:color w:val="000000" w:themeColor="text1"/>
        </w:rPr>
        <w:t>,</w:t>
      </w:r>
      <w:r w:rsidR="36DB4A0D" w:rsidRPr="4B07FD26">
        <w:rPr>
          <w:rFonts w:ascii="Times New Roman" w:eastAsia="Times New Roman" w:hAnsi="Times New Roman" w:cs="Times New Roman"/>
          <w:color w:val="000000" w:themeColor="text1"/>
        </w:rPr>
        <w:t xml:space="preserve"> the Spanish government has placed under protection the area making it National Park (1969) and Natural Park (1989) extending its protected area over time. International safeguards are added to this, such as the Biosphere Reserve Declaration (1980), the inclusion in the Ramsar wetland list (1982), </w:t>
      </w:r>
      <w:r w:rsidR="00FB734F">
        <w:rPr>
          <w:rFonts w:ascii="Times New Roman" w:eastAsia="Times New Roman" w:hAnsi="Times New Roman" w:cs="Times New Roman"/>
          <w:color w:val="000000" w:themeColor="text1"/>
        </w:rPr>
        <w:t xml:space="preserve">the </w:t>
      </w:r>
      <w:r w:rsidR="36DB4A0D" w:rsidRPr="4B07FD26">
        <w:rPr>
          <w:rFonts w:ascii="Times New Roman" w:eastAsia="Times New Roman" w:hAnsi="Times New Roman" w:cs="Times New Roman"/>
          <w:color w:val="000000" w:themeColor="text1"/>
        </w:rPr>
        <w:t>Natura 2000 Network (1987)</w:t>
      </w:r>
      <w:r w:rsidR="00FB734F">
        <w:rPr>
          <w:rFonts w:ascii="Times New Roman" w:eastAsia="Times New Roman" w:hAnsi="Times New Roman" w:cs="Times New Roman"/>
          <w:color w:val="000000" w:themeColor="text1"/>
        </w:rPr>
        <w:t>,</w:t>
      </w:r>
      <w:r w:rsidR="36DB4A0D" w:rsidRPr="4B07FD26">
        <w:rPr>
          <w:rFonts w:ascii="Times New Roman" w:eastAsia="Times New Roman" w:hAnsi="Times New Roman" w:cs="Times New Roman"/>
          <w:color w:val="000000" w:themeColor="text1"/>
        </w:rPr>
        <w:t xml:space="preserve"> and the designation in 1994 by UNESCO as </w:t>
      </w:r>
      <w:r w:rsidR="00FB734F">
        <w:rPr>
          <w:rFonts w:ascii="Times New Roman" w:eastAsia="Times New Roman" w:hAnsi="Times New Roman" w:cs="Times New Roman"/>
          <w:color w:val="000000" w:themeColor="text1"/>
        </w:rPr>
        <w:t xml:space="preserve">a </w:t>
      </w:r>
      <w:r w:rsidR="36DB4A0D" w:rsidRPr="4B07FD26">
        <w:rPr>
          <w:rFonts w:ascii="Times New Roman" w:eastAsia="Times New Roman" w:hAnsi="Times New Roman" w:cs="Times New Roman"/>
          <w:color w:val="000000" w:themeColor="text1"/>
        </w:rPr>
        <w:t>World Heritage Site.</w:t>
      </w:r>
      <w:r w:rsidR="36DB4A0D" w:rsidRPr="4B07FD26">
        <w:rPr>
          <w:rFonts w:ascii="Times New Roman" w:eastAsia="Times New Roman" w:hAnsi="Times New Roman" w:cs="Times New Roman"/>
        </w:rPr>
        <w:t xml:space="preserve"> </w:t>
      </w:r>
      <w:r w:rsidRPr="4B07FD26">
        <w:rPr>
          <w:rFonts w:ascii="Times New Roman" w:eastAsia="Times New Roman" w:hAnsi="Times New Roman" w:cs="Times New Roman"/>
        </w:rPr>
        <w:t>Nowadays it is under protection by important institutions such as the WWF, as it has undergone different anthropogenic pressures over time such as channel diversion, and the overexploitation of surface and underground water bodies due to the increased water demand for irrigation and tourism.</w:t>
      </w:r>
      <w:r w:rsidR="00FB734F">
        <w:rPr>
          <w:rFonts w:ascii="Times New Roman" w:eastAsia="Times New Roman" w:hAnsi="Times New Roman" w:cs="Times New Roman"/>
        </w:rPr>
        <w:t xml:space="preserve"> </w:t>
      </w:r>
      <w:r w:rsidRPr="4B07FD26">
        <w:rPr>
          <w:rFonts w:ascii="Times New Roman" w:eastAsia="Times New Roman" w:hAnsi="Times New Roman" w:cs="Times New Roman"/>
        </w:rPr>
        <w:t>The effects of this exploitation regime are tangible, and, without a clear and coherent action plan, the situation can only become worse.</w:t>
      </w:r>
      <w:r w:rsidR="00D62F19" w:rsidRPr="4B07FD26">
        <w:rPr>
          <w:rFonts w:ascii="Times New Roman" w:eastAsia="Times New Roman" w:hAnsi="Times New Roman" w:cs="Times New Roman"/>
        </w:rPr>
        <w:t xml:space="preserve"> </w:t>
      </w:r>
      <w:r w:rsidR="00332222" w:rsidRPr="4B07FD26">
        <w:rPr>
          <w:rFonts w:ascii="Times New Roman" w:eastAsia="Times New Roman" w:hAnsi="Times New Roman" w:cs="Times New Roman"/>
          <w:color w:val="000000" w:themeColor="text1"/>
        </w:rPr>
        <w:t xml:space="preserve">Following a chronological order, the first changes by </w:t>
      </w:r>
      <w:r w:rsidR="25E881D1" w:rsidRPr="4B07FD26">
        <w:rPr>
          <w:rFonts w:ascii="Times New Roman" w:eastAsia="Times New Roman" w:hAnsi="Times New Roman" w:cs="Times New Roman"/>
          <w:color w:val="000000" w:themeColor="text1"/>
        </w:rPr>
        <w:t>hu</w:t>
      </w:r>
      <w:r w:rsidR="00332222" w:rsidRPr="4B07FD26">
        <w:rPr>
          <w:rFonts w:ascii="Times New Roman" w:eastAsia="Times New Roman" w:hAnsi="Times New Roman" w:cs="Times New Roman"/>
          <w:color w:val="000000" w:themeColor="text1"/>
        </w:rPr>
        <w:t>man</w:t>
      </w:r>
      <w:r w:rsidR="0B48A7BF" w:rsidRPr="4B07FD26">
        <w:rPr>
          <w:rFonts w:ascii="Times New Roman" w:eastAsia="Times New Roman" w:hAnsi="Times New Roman" w:cs="Times New Roman"/>
          <w:color w:val="000000" w:themeColor="text1"/>
        </w:rPr>
        <w:t>s</w:t>
      </w:r>
      <w:r w:rsidR="00332222" w:rsidRPr="4B07FD26">
        <w:rPr>
          <w:rFonts w:ascii="Times New Roman" w:eastAsia="Times New Roman" w:hAnsi="Times New Roman" w:cs="Times New Roman"/>
          <w:color w:val="000000" w:themeColor="text1"/>
        </w:rPr>
        <w:t xml:space="preserve"> occurred in the 50s and 60s when the flows that reached the marshland were diverted to permanently drain the area and make it available for cultivation. A large part of the marshland has been used for rice cultivation, and Doñana is still one of the largest rice fields in Europe. Following the emergence of new techniques of water extraction and irrigation, the natural area was, starting from the 90s, surrounded by massive </w:t>
      </w:r>
      <w:r w:rsidR="00FB734F">
        <w:rPr>
          <w:rFonts w:ascii="Times New Roman" w:eastAsia="Times New Roman" w:hAnsi="Times New Roman" w:cs="Times New Roman"/>
          <w:color w:val="000000" w:themeColor="text1"/>
        </w:rPr>
        <w:t>water</w:t>
      </w:r>
      <w:r w:rsidR="00332222" w:rsidRPr="4B07FD26">
        <w:rPr>
          <w:rFonts w:ascii="Times New Roman" w:eastAsia="Times New Roman" w:hAnsi="Times New Roman" w:cs="Times New Roman"/>
          <w:color w:val="000000" w:themeColor="text1"/>
        </w:rPr>
        <w:t xml:space="preserve">-demanding crops (such as berries cultivated in greenhouses) just outside the protected area: </w:t>
      </w:r>
      <w:commentRangeStart w:id="0"/>
      <w:r w:rsidR="00332222" w:rsidRPr="4B07FD26">
        <w:rPr>
          <w:rFonts w:ascii="Times New Roman" w:eastAsia="Times New Roman" w:hAnsi="Times New Roman" w:cs="Times New Roman"/>
          <w:color w:val="000000" w:themeColor="text1"/>
        </w:rPr>
        <w:t xml:space="preserve">this event has led to a significant increase in groundwater abstractions both legal and illegal therefore not monitored, and gradually, threaten water bodies </w:t>
      </w:r>
      <w:r w:rsidR="00144959">
        <w:rPr>
          <w:rFonts w:ascii="Times New Roman" w:eastAsia="Times New Roman" w:hAnsi="Times New Roman" w:cs="Times New Roman"/>
          <w:color w:val="000000" w:themeColor="text1"/>
        </w:rPr>
        <w:t xml:space="preserve">and </w:t>
      </w:r>
      <w:r w:rsidR="00332222" w:rsidRPr="4B07FD26">
        <w:rPr>
          <w:rFonts w:ascii="Times New Roman" w:eastAsia="Times New Roman" w:hAnsi="Times New Roman" w:cs="Times New Roman"/>
          <w:color w:val="000000" w:themeColor="text1"/>
        </w:rPr>
        <w:t xml:space="preserve">nourishment of ecosystems. </w:t>
      </w:r>
      <w:r w:rsidR="0BD727EF" w:rsidRPr="4B07FD26">
        <w:rPr>
          <w:rFonts w:ascii="Times New Roman" w:eastAsia="Times New Roman" w:hAnsi="Times New Roman" w:cs="Times New Roman"/>
          <w:color w:val="000000" w:themeColor="text1"/>
        </w:rPr>
        <w:t>B</w:t>
      </w:r>
      <w:r w:rsidR="00332222" w:rsidRPr="4B07FD26">
        <w:rPr>
          <w:rFonts w:ascii="Times New Roman" w:eastAsia="Times New Roman" w:hAnsi="Times New Roman" w:cs="Times New Roman"/>
          <w:color w:val="000000" w:themeColor="text1"/>
        </w:rPr>
        <w:t xml:space="preserve">ecause of the extraordinary beauty and uniqueness of the places, the area has been </w:t>
      </w:r>
      <w:r w:rsidR="4F1ED9A1" w:rsidRPr="4B07FD26">
        <w:rPr>
          <w:rFonts w:ascii="Times New Roman" w:eastAsia="Times New Roman" w:hAnsi="Times New Roman" w:cs="Times New Roman"/>
          <w:color w:val="000000" w:themeColor="text1"/>
        </w:rPr>
        <w:t xml:space="preserve">also </w:t>
      </w:r>
      <w:r w:rsidR="00332222" w:rsidRPr="4B07FD26">
        <w:rPr>
          <w:rFonts w:ascii="Times New Roman" w:eastAsia="Times New Roman" w:hAnsi="Times New Roman" w:cs="Times New Roman"/>
          <w:color w:val="000000" w:themeColor="text1"/>
        </w:rPr>
        <w:t xml:space="preserve">targeted by naturalistic and religious </w:t>
      </w:r>
      <w:r w:rsidR="00332222" w:rsidRPr="4B07FD26">
        <w:rPr>
          <w:rFonts w:ascii="Times New Roman" w:eastAsia="Times New Roman" w:hAnsi="Times New Roman" w:cs="Times New Roman"/>
          <w:color w:val="000000" w:themeColor="text1"/>
        </w:rPr>
        <w:lastRenderedPageBreak/>
        <w:t xml:space="preserve">tourism and, especially </w:t>
      </w:r>
      <w:r w:rsidR="00FB734F">
        <w:rPr>
          <w:rFonts w:ascii="Times New Roman" w:eastAsia="Times New Roman" w:hAnsi="Times New Roman" w:cs="Times New Roman"/>
          <w:color w:val="000000" w:themeColor="text1"/>
        </w:rPr>
        <w:t>near</w:t>
      </w:r>
      <w:r w:rsidR="00FB734F" w:rsidRPr="4B07FD26">
        <w:rPr>
          <w:rFonts w:ascii="Times New Roman" w:eastAsia="Times New Roman" w:hAnsi="Times New Roman" w:cs="Times New Roman"/>
          <w:color w:val="000000" w:themeColor="text1"/>
        </w:rPr>
        <w:t xml:space="preserve"> </w:t>
      </w:r>
      <w:r w:rsidR="00332222" w:rsidRPr="4B07FD26">
        <w:rPr>
          <w:rFonts w:ascii="Times New Roman" w:eastAsia="Times New Roman" w:hAnsi="Times New Roman" w:cs="Times New Roman"/>
          <w:color w:val="000000" w:themeColor="text1"/>
        </w:rPr>
        <w:t>the coast, several resorts have been placed that also record large withdrawals from groundwater whose effect is the depletion of ecosystems such as temporary lagoons</w:t>
      </w:r>
      <w:r w:rsidR="1E9B41F7" w:rsidRPr="4B07FD26">
        <w:rPr>
          <w:rFonts w:ascii="Times New Roman" w:eastAsia="Times New Roman" w:hAnsi="Times New Roman" w:cs="Times New Roman"/>
          <w:color w:val="000000" w:themeColor="text1"/>
        </w:rPr>
        <w:t xml:space="preserve"> (Dìaz-Paniagua et al, 2015; </w:t>
      </w:r>
      <w:r w:rsidR="09B27D14" w:rsidRPr="4B07FD26">
        <w:rPr>
          <w:rFonts w:ascii="Times New Roman" w:eastAsia="Times New Roman" w:hAnsi="Times New Roman" w:cs="Times New Roman"/>
          <w:color w:val="000000" w:themeColor="text1"/>
        </w:rPr>
        <w:t>Naranjo_Fernandez et al., 2018; Naranjo-Fernandez et al., 2020</w:t>
      </w:r>
      <w:r w:rsidR="2FB198CA" w:rsidRPr="4B07FD26">
        <w:rPr>
          <w:rFonts w:ascii="Times New Roman" w:eastAsia="Times New Roman" w:hAnsi="Times New Roman" w:cs="Times New Roman"/>
          <w:color w:val="000000" w:themeColor="text1"/>
        </w:rPr>
        <w:t>; Green et al., 2024</w:t>
      </w:r>
      <w:r w:rsidR="09B27D14" w:rsidRPr="4B07FD26">
        <w:rPr>
          <w:rFonts w:ascii="Times New Roman" w:eastAsia="Times New Roman" w:hAnsi="Times New Roman" w:cs="Times New Roman"/>
          <w:color w:val="000000" w:themeColor="text1"/>
        </w:rPr>
        <w:t>)</w:t>
      </w:r>
      <w:commentRangeEnd w:id="0"/>
      <w:r w:rsidR="00332222">
        <w:commentReference w:id="0"/>
      </w:r>
      <w:r w:rsidR="0028799E">
        <w:rPr>
          <w:rFonts w:ascii="Times New Roman" w:eastAsia="Times New Roman" w:hAnsi="Times New Roman" w:cs="Times New Roman"/>
          <w:color w:val="000000" w:themeColor="text1"/>
        </w:rPr>
        <w:t>.</w:t>
      </w:r>
      <w:r w:rsidR="00FB734F">
        <w:rPr>
          <w:rFonts w:ascii="Times New Roman" w:eastAsia="Times New Roman" w:hAnsi="Times New Roman" w:cs="Times New Roman"/>
          <w:color w:val="000000" w:themeColor="text1"/>
        </w:rPr>
        <w:t xml:space="preserve"> </w:t>
      </w:r>
      <w:r w:rsidR="00332222" w:rsidRPr="4B07FD26">
        <w:rPr>
          <w:rFonts w:ascii="Times New Roman" w:eastAsia="Times New Roman" w:hAnsi="Times New Roman" w:cs="Times New Roman"/>
          <w:color w:val="000000" w:themeColor="text1"/>
        </w:rPr>
        <w:t>The Doñana aquifer</w:t>
      </w:r>
      <w:r w:rsidR="525F6B87" w:rsidRPr="4B07FD26">
        <w:rPr>
          <w:rFonts w:ascii="Times New Roman" w:eastAsia="Times New Roman" w:hAnsi="Times New Roman" w:cs="Times New Roman"/>
          <w:color w:val="000000" w:themeColor="text1"/>
        </w:rPr>
        <w:t xml:space="preserve"> system</w:t>
      </w:r>
      <w:r w:rsidR="00332222" w:rsidRPr="4B07FD26">
        <w:rPr>
          <w:rFonts w:ascii="Times New Roman" w:eastAsia="Times New Roman" w:hAnsi="Times New Roman" w:cs="Times New Roman"/>
          <w:color w:val="000000" w:themeColor="text1"/>
        </w:rPr>
        <w:t xml:space="preserve">, divided into five units for geological and administrative issues (La Rocina, Marismas, Marismas de Doñana, Almonte, Manto Eolico Litoral de Doñana), has been analyzed both quantitatively and qualitatively by the Guadalquivir Hydrographic Confederation (CHG). This work led, in the </w:t>
      </w:r>
      <w:commentRangeStart w:id="1"/>
      <w:r w:rsidR="00332222" w:rsidRPr="4B07FD26">
        <w:rPr>
          <w:rFonts w:ascii="Times New Roman" w:eastAsia="Times New Roman" w:hAnsi="Times New Roman" w:cs="Times New Roman"/>
          <w:color w:val="000000" w:themeColor="text1"/>
        </w:rPr>
        <w:t>Guadalquivir Water Management Plan 2022-2027</w:t>
      </w:r>
      <w:r w:rsidR="7564ABA8" w:rsidRPr="4B07FD26">
        <w:rPr>
          <w:rFonts w:ascii="Times New Roman" w:eastAsia="Times New Roman" w:hAnsi="Times New Roman" w:cs="Times New Roman"/>
          <w:color w:val="000000" w:themeColor="text1"/>
        </w:rPr>
        <w:t xml:space="preserve"> (CHG, 2023)</w:t>
      </w:r>
      <w:commentRangeEnd w:id="1"/>
      <w:r w:rsidR="00332222">
        <w:commentReference w:id="1"/>
      </w:r>
      <w:r w:rsidR="00332222" w:rsidRPr="4B07FD26">
        <w:rPr>
          <w:rFonts w:ascii="Times New Roman" w:eastAsia="Times New Roman" w:hAnsi="Times New Roman" w:cs="Times New Roman"/>
          <w:color w:val="000000" w:themeColor="text1"/>
        </w:rPr>
        <w:t xml:space="preserve">, to designate three of the five aquifers as being in a "poor </w:t>
      </w:r>
      <w:r w:rsidR="7218F588" w:rsidRPr="4B07FD26">
        <w:rPr>
          <w:rFonts w:ascii="Times New Roman" w:eastAsia="Times New Roman" w:hAnsi="Times New Roman" w:cs="Times New Roman"/>
          <w:color w:val="000000" w:themeColor="text1"/>
        </w:rPr>
        <w:t xml:space="preserve">quantitative </w:t>
      </w:r>
      <w:r w:rsidR="00332222" w:rsidRPr="4B07FD26">
        <w:rPr>
          <w:rFonts w:ascii="Times New Roman" w:eastAsia="Times New Roman" w:hAnsi="Times New Roman" w:cs="Times New Roman"/>
          <w:color w:val="000000" w:themeColor="text1"/>
        </w:rPr>
        <w:t xml:space="preserve">state" because of the overexploitation </w:t>
      </w:r>
      <w:r w:rsidR="22EF3A8F" w:rsidRPr="4B07FD26">
        <w:rPr>
          <w:rFonts w:ascii="Times New Roman" w:eastAsia="Times New Roman" w:hAnsi="Times New Roman" w:cs="Times New Roman"/>
          <w:color w:val="000000" w:themeColor="text1"/>
        </w:rPr>
        <w:t xml:space="preserve">related to </w:t>
      </w:r>
      <w:r w:rsidR="00332222" w:rsidRPr="4B07FD26">
        <w:rPr>
          <w:rFonts w:ascii="Times New Roman" w:eastAsia="Times New Roman" w:hAnsi="Times New Roman" w:cs="Times New Roman"/>
          <w:color w:val="000000" w:themeColor="text1"/>
        </w:rPr>
        <w:t>various human activities. Fig</w:t>
      </w:r>
      <w:r w:rsidR="57AB97BE" w:rsidRPr="4B07FD26">
        <w:rPr>
          <w:rFonts w:ascii="Times New Roman" w:eastAsia="Times New Roman" w:hAnsi="Times New Roman" w:cs="Times New Roman"/>
          <w:color w:val="000000" w:themeColor="text1"/>
        </w:rPr>
        <w:t>ure</w:t>
      </w:r>
      <w:r w:rsidR="00332222" w:rsidRPr="4B07FD26">
        <w:rPr>
          <w:rFonts w:ascii="Times New Roman" w:eastAsia="Times New Roman" w:hAnsi="Times New Roman" w:cs="Times New Roman"/>
          <w:color w:val="000000" w:themeColor="text1"/>
        </w:rPr>
        <w:t xml:space="preserve"> 1 shows </w:t>
      </w:r>
      <w:r w:rsidR="66D12EC8" w:rsidRPr="4B07FD26">
        <w:rPr>
          <w:rFonts w:ascii="Times New Roman" w:eastAsia="Times New Roman" w:hAnsi="Times New Roman" w:cs="Times New Roman"/>
          <w:color w:val="000000" w:themeColor="text1"/>
        </w:rPr>
        <w:t>the average water balance component</w:t>
      </w:r>
      <w:r w:rsidR="553B3EE8" w:rsidRPr="4B07FD26">
        <w:rPr>
          <w:rFonts w:ascii="Times New Roman" w:eastAsia="Times New Roman" w:hAnsi="Times New Roman" w:cs="Times New Roman"/>
          <w:color w:val="000000" w:themeColor="text1"/>
        </w:rPr>
        <w:t>s</w:t>
      </w:r>
      <w:r w:rsidR="66D12EC8" w:rsidRPr="4B07FD26">
        <w:rPr>
          <w:rFonts w:ascii="Times New Roman" w:eastAsia="Times New Roman" w:hAnsi="Times New Roman" w:cs="Times New Roman"/>
          <w:color w:val="000000" w:themeColor="text1"/>
        </w:rPr>
        <w:t xml:space="preserve"> for </w:t>
      </w:r>
      <w:r w:rsidR="00332222" w:rsidRPr="4B07FD26">
        <w:rPr>
          <w:rFonts w:ascii="Times New Roman" w:eastAsia="Times New Roman" w:hAnsi="Times New Roman" w:cs="Times New Roman"/>
          <w:color w:val="000000" w:themeColor="text1"/>
        </w:rPr>
        <w:t xml:space="preserve">each of the five aquifers, together with the calculation of the Groundwater Exploitation Index (GEI) (Portoghese et al., 2013) from which it is clear which </w:t>
      </w:r>
      <w:r w:rsidR="6655359E" w:rsidRPr="4B07FD26">
        <w:rPr>
          <w:rFonts w:ascii="Times New Roman" w:eastAsia="Times New Roman" w:hAnsi="Times New Roman" w:cs="Times New Roman"/>
          <w:color w:val="000000" w:themeColor="text1"/>
        </w:rPr>
        <w:t xml:space="preserve">of them </w:t>
      </w:r>
      <w:r w:rsidR="00332222" w:rsidRPr="4B07FD26">
        <w:rPr>
          <w:rFonts w:ascii="Times New Roman" w:eastAsia="Times New Roman" w:hAnsi="Times New Roman" w:cs="Times New Roman"/>
          <w:color w:val="000000" w:themeColor="text1"/>
        </w:rPr>
        <w:t xml:space="preserve">are over-exploited and </w:t>
      </w:r>
      <w:r w:rsidR="35543B15" w:rsidRPr="4B07FD26">
        <w:rPr>
          <w:rFonts w:ascii="Times New Roman" w:eastAsia="Times New Roman" w:hAnsi="Times New Roman" w:cs="Times New Roman"/>
          <w:color w:val="000000" w:themeColor="text1"/>
        </w:rPr>
        <w:t xml:space="preserve">therefore need specific conservation measures. </w:t>
      </w:r>
    </w:p>
    <w:p w14:paraId="4AA2C12D" w14:textId="5773A45F" w:rsidR="4B07FD26" w:rsidRDefault="4B07FD26" w:rsidP="4B07FD26">
      <w:pPr>
        <w:spacing w:before="120" w:after="0"/>
        <w:jc w:val="both"/>
        <w:rPr>
          <w:rFonts w:ascii="Times New Roman" w:eastAsia="Times New Roman" w:hAnsi="Times New Roman" w:cs="Times New Roman"/>
          <w:color w:val="000000" w:themeColor="text1"/>
        </w:rPr>
      </w:pPr>
    </w:p>
    <w:p w14:paraId="4359C466" w14:textId="77777777" w:rsidR="003D0180" w:rsidRDefault="00332222">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7C8EDA9B" wp14:editId="03DAF6B7">
            <wp:simplePos x="0" y="0"/>
            <wp:positionH relativeFrom="margin">
              <wp:align>right</wp:align>
            </wp:positionH>
            <wp:positionV relativeFrom="paragraph">
              <wp:posOffset>104775</wp:posOffset>
            </wp:positionV>
            <wp:extent cx="6111240" cy="3040380"/>
            <wp:effectExtent l="0" t="0" r="3810" b="7620"/>
            <wp:wrapNone/>
            <wp:docPr id="17388417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6111240" cy="3040380"/>
                    </a:xfrm>
                    <a:prstGeom prst="rect">
                      <a:avLst/>
                    </a:prstGeom>
                    <a:ln/>
                  </pic:spPr>
                </pic:pic>
              </a:graphicData>
            </a:graphic>
          </wp:anchor>
        </w:drawing>
      </w:r>
    </w:p>
    <w:p w14:paraId="5DAB6C7B"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02EB378F"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A05A809"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5A39BBE3"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41C8F396"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72A3D3EC"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0D0B940D"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0E27B00A"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60061E4C"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44EAFD9C"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4B94D5A5"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3DEEC669"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3656B9AB"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45FB0818"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049F31CB"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53128261"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62486C05" w14:textId="77777777" w:rsidR="003D0180" w:rsidRDefault="003D0180">
      <w:pPr>
        <w:pBdr>
          <w:top w:val="nil"/>
          <w:left w:val="nil"/>
          <w:bottom w:val="nil"/>
          <w:right w:val="nil"/>
          <w:between w:val="nil"/>
        </w:pBdr>
        <w:spacing w:before="60" w:after="0" w:line="240" w:lineRule="auto"/>
        <w:jc w:val="center"/>
        <w:rPr>
          <w:rFonts w:ascii="Times New Roman" w:eastAsia="Times New Roman" w:hAnsi="Times New Roman" w:cs="Times New Roman"/>
          <w:b/>
          <w:sz w:val="17"/>
          <w:szCs w:val="17"/>
        </w:rPr>
      </w:pPr>
    </w:p>
    <w:p w14:paraId="322DB37C" w14:textId="2305A7CF" w:rsidR="003D0180" w:rsidRDefault="00332222" w:rsidP="4B07FD26">
      <w:pPr>
        <w:pBdr>
          <w:top w:val="nil"/>
          <w:left w:val="nil"/>
          <w:bottom w:val="nil"/>
          <w:right w:val="nil"/>
          <w:between w:val="nil"/>
        </w:pBdr>
        <w:spacing w:before="60" w:after="0" w:line="240" w:lineRule="auto"/>
        <w:jc w:val="center"/>
        <w:rPr>
          <w:rFonts w:ascii="Times New Roman" w:eastAsia="Times New Roman" w:hAnsi="Times New Roman" w:cs="Times New Roman"/>
          <w:color w:val="000000"/>
          <w:sz w:val="17"/>
          <w:szCs w:val="17"/>
        </w:rPr>
      </w:pPr>
      <w:r w:rsidRPr="4B07FD26">
        <w:rPr>
          <w:rFonts w:ascii="Times New Roman" w:eastAsia="Times New Roman" w:hAnsi="Times New Roman" w:cs="Times New Roman"/>
          <w:b/>
          <w:bCs/>
          <w:color w:val="000000" w:themeColor="text1"/>
          <w:sz w:val="17"/>
          <w:szCs w:val="17"/>
        </w:rPr>
        <w:t xml:space="preserve">Fig. 1. </w:t>
      </w:r>
      <w:r w:rsidRPr="4B07FD26">
        <w:rPr>
          <w:rFonts w:ascii="Times New Roman" w:eastAsia="Times New Roman" w:hAnsi="Times New Roman" w:cs="Times New Roman"/>
          <w:color w:val="000000" w:themeColor="text1"/>
          <w:sz w:val="17"/>
          <w:szCs w:val="17"/>
        </w:rPr>
        <w:t>Sectoral water use</w:t>
      </w:r>
      <w:r w:rsidR="327D7731" w:rsidRPr="4B07FD26">
        <w:rPr>
          <w:rFonts w:ascii="Times New Roman" w:eastAsia="Times New Roman" w:hAnsi="Times New Roman" w:cs="Times New Roman"/>
          <w:color w:val="000000" w:themeColor="text1"/>
          <w:sz w:val="17"/>
          <w:szCs w:val="17"/>
        </w:rPr>
        <w:t>s</w:t>
      </w:r>
      <w:r w:rsidRPr="4B07FD26">
        <w:rPr>
          <w:rFonts w:ascii="Times New Roman" w:eastAsia="Times New Roman" w:hAnsi="Times New Roman" w:cs="Times New Roman"/>
          <w:color w:val="000000" w:themeColor="text1"/>
          <w:sz w:val="17"/>
          <w:szCs w:val="17"/>
        </w:rPr>
        <w:t xml:space="preserve"> and GEI for Doñana aquifers.</w:t>
      </w:r>
    </w:p>
    <w:p w14:paraId="4101652C"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B0FC27A" w14:textId="56E17788" w:rsidR="0028799E" w:rsidRDefault="00332222" w:rsidP="0028799E">
      <w:pPr>
        <w:pStyle w:val="IAHRtext"/>
      </w:pPr>
      <w:r w:rsidRPr="4B07FD26">
        <w:t xml:space="preserve">Even the industrial sector, although not really located in the vicinity of protected areas, has affected the </w:t>
      </w:r>
      <w:r w:rsidR="410E273B" w:rsidRPr="4B07FD26">
        <w:t xml:space="preserve">natural resources in the </w:t>
      </w:r>
      <w:r w:rsidR="059570AF" w:rsidRPr="4B07FD26">
        <w:t xml:space="preserve">Doñana </w:t>
      </w:r>
      <w:r w:rsidRPr="4B07FD26">
        <w:t>territory</w:t>
      </w:r>
      <w:r w:rsidR="61BBB4A2" w:rsidRPr="4B07FD26">
        <w:t xml:space="preserve">, since </w:t>
      </w:r>
      <w:r w:rsidRPr="4B07FD26">
        <w:t xml:space="preserve">the </w:t>
      </w:r>
      <w:r w:rsidR="44488EFA" w:rsidRPr="4B07FD26">
        <w:t xml:space="preserve">accidental </w:t>
      </w:r>
      <w:r w:rsidRPr="4B07FD26">
        <w:t xml:space="preserve">collapse of the Aznalcollar dam embankment </w:t>
      </w:r>
      <w:r w:rsidR="74ED74C7" w:rsidRPr="4B07FD26">
        <w:t xml:space="preserve">in 1998 which </w:t>
      </w:r>
      <w:r w:rsidRPr="4B07FD26">
        <w:t xml:space="preserve">released large quantities of toxic sludge from the nearby mining industry in the Guadiamar River, </w:t>
      </w:r>
      <w:r w:rsidR="243BC063" w:rsidRPr="4B07FD26">
        <w:t xml:space="preserve">and </w:t>
      </w:r>
      <w:r w:rsidRPr="4B07FD26">
        <w:t>forc</w:t>
      </w:r>
      <w:r w:rsidR="04D73677" w:rsidRPr="4B07FD26">
        <w:t>ed</w:t>
      </w:r>
      <w:r w:rsidRPr="4B07FD26">
        <w:t xml:space="preserve"> local authorities to </w:t>
      </w:r>
      <w:r w:rsidR="252EBB2F" w:rsidRPr="4B07FD26">
        <w:t xml:space="preserve">further </w:t>
      </w:r>
      <w:r w:rsidRPr="4B07FD26">
        <w:t xml:space="preserve">disconnect the </w:t>
      </w:r>
      <w:r w:rsidR="5A40DB57" w:rsidRPr="4B07FD26">
        <w:t xml:space="preserve">natural drainage system feeding the </w:t>
      </w:r>
      <w:r w:rsidRPr="4B07FD26">
        <w:t>marshland</w:t>
      </w:r>
      <w:r w:rsidR="51C44034" w:rsidRPr="4B07FD26">
        <w:t xml:space="preserve"> </w:t>
      </w:r>
      <w:r w:rsidR="7728E688" w:rsidRPr="4B07FD26">
        <w:t>from the upstream river</w:t>
      </w:r>
      <w:r w:rsidR="1B9BF626" w:rsidRPr="4B07FD26">
        <w:t xml:space="preserve"> basins</w:t>
      </w:r>
      <w:r w:rsidRPr="4B07FD26">
        <w:t>.</w:t>
      </w:r>
      <w:r w:rsidR="00FB734F">
        <w:t xml:space="preserve"> </w:t>
      </w:r>
      <w:r w:rsidRPr="4B07FD26">
        <w:t xml:space="preserve">These </w:t>
      </w:r>
      <w:r w:rsidR="5FB85F0A" w:rsidRPr="4B07FD26">
        <w:t xml:space="preserve">environmental </w:t>
      </w:r>
      <w:r w:rsidRPr="4B07FD26">
        <w:t xml:space="preserve">issues </w:t>
      </w:r>
      <w:r w:rsidR="08129C7C" w:rsidRPr="4B07FD26">
        <w:t xml:space="preserve">have been </w:t>
      </w:r>
      <w:r w:rsidRPr="4B07FD26">
        <w:t xml:space="preserve">followed over time </w:t>
      </w:r>
      <w:r w:rsidR="5FDCA38C" w:rsidRPr="4B07FD26">
        <w:t xml:space="preserve">by </w:t>
      </w:r>
      <w:r w:rsidR="3F1FD7DC" w:rsidRPr="4B07FD26">
        <w:t xml:space="preserve">several </w:t>
      </w:r>
      <w:r w:rsidRPr="4B07FD26">
        <w:t xml:space="preserve">proposals for protection and restoration actions </w:t>
      </w:r>
      <w:r w:rsidR="00FB734F">
        <w:t>whose</w:t>
      </w:r>
      <w:r w:rsidR="00FB734F" w:rsidRPr="4B07FD26">
        <w:t xml:space="preserve"> </w:t>
      </w:r>
      <w:r w:rsidR="3AC60E83" w:rsidRPr="4B07FD26">
        <w:t>effectiveness was critically hampe</w:t>
      </w:r>
      <w:r w:rsidR="36800D9F" w:rsidRPr="4B07FD26">
        <w:t xml:space="preserve">red </w:t>
      </w:r>
      <w:r w:rsidR="2811FCA6" w:rsidRPr="4B07FD26">
        <w:t xml:space="preserve">by </w:t>
      </w:r>
      <w:r w:rsidR="5C94C647" w:rsidRPr="4B07FD26">
        <w:t xml:space="preserve">the intrinsic complexity of this socio-hydrological system </w:t>
      </w:r>
      <w:r w:rsidR="3E340D6E" w:rsidRPr="4B07FD26">
        <w:t>and the lack of adequate surveys and measu</w:t>
      </w:r>
      <w:r w:rsidR="3BE38CE0" w:rsidRPr="4B07FD26">
        <w:t>rements</w:t>
      </w:r>
      <w:r w:rsidR="3E340D6E" w:rsidRPr="4B07FD26">
        <w:t xml:space="preserve"> (e.g. knowledge of the extent of illegal withdrawals or still in-depth knowledge of groundwater masses)</w:t>
      </w:r>
      <w:r w:rsidR="16DB2413" w:rsidRPr="4B07FD26">
        <w:t>.</w:t>
      </w:r>
      <w:r w:rsidR="3E340D6E" w:rsidRPr="4B07FD26">
        <w:t xml:space="preserve"> </w:t>
      </w:r>
      <w:r w:rsidR="5C9CA9A6" w:rsidRPr="4B07FD26">
        <w:t>Under such conditions, a</w:t>
      </w:r>
      <w:r w:rsidR="0A8D5CDE" w:rsidRPr="4B07FD26">
        <w:t>n</w:t>
      </w:r>
      <w:r w:rsidRPr="4B07FD26">
        <w:t xml:space="preserve"> </w:t>
      </w:r>
      <w:r w:rsidR="0426C67A" w:rsidRPr="4B07FD26">
        <w:t xml:space="preserve">adequate </w:t>
      </w:r>
      <w:r w:rsidRPr="4B07FD26">
        <w:t xml:space="preserve">knowledge of the </w:t>
      </w:r>
      <w:r w:rsidR="0392712E" w:rsidRPr="4B07FD26">
        <w:t xml:space="preserve">dominant sectoral processes </w:t>
      </w:r>
      <w:r w:rsidR="33B00EB3" w:rsidRPr="4B07FD26">
        <w:t xml:space="preserve">for this </w:t>
      </w:r>
      <w:r w:rsidRPr="4B07FD26">
        <w:t>territory</w:t>
      </w:r>
      <w:r w:rsidR="16522562" w:rsidRPr="4B07FD26">
        <w:t xml:space="preserve"> could be achieved </w:t>
      </w:r>
      <w:r w:rsidRPr="4B07FD26">
        <w:t xml:space="preserve">through </w:t>
      </w:r>
      <w:r w:rsidR="54040FC7" w:rsidRPr="4B07FD26">
        <w:t xml:space="preserve">suitably </w:t>
      </w:r>
      <w:r w:rsidR="61280367" w:rsidRPr="4B07FD26">
        <w:t>integrated</w:t>
      </w:r>
      <w:r w:rsidR="54040FC7" w:rsidRPr="4B07FD26">
        <w:t xml:space="preserve"> </w:t>
      </w:r>
      <w:r w:rsidRPr="4B07FD26">
        <w:t>models</w:t>
      </w:r>
      <w:r w:rsidR="668FE792" w:rsidRPr="4B07FD26">
        <w:t xml:space="preserve"> </w:t>
      </w:r>
      <w:r w:rsidR="00FB734F">
        <w:t>that</w:t>
      </w:r>
      <w:r w:rsidR="00FB734F" w:rsidRPr="4B07FD26">
        <w:t xml:space="preserve"> </w:t>
      </w:r>
      <w:r w:rsidR="668FE792" w:rsidRPr="4B07FD26">
        <w:t xml:space="preserve">combine </w:t>
      </w:r>
      <w:r w:rsidR="71748271" w:rsidRPr="4B07FD26">
        <w:t xml:space="preserve">the physical dynamics of this environment with </w:t>
      </w:r>
      <w:r w:rsidR="5D20DBC8" w:rsidRPr="4B07FD26">
        <w:t>the human and socio-economic dimension</w:t>
      </w:r>
      <w:r w:rsidR="00FB734F">
        <w:t>s</w:t>
      </w:r>
      <w:r w:rsidR="6C8ED4B5" w:rsidRPr="4B07FD26">
        <w:t xml:space="preserve">. </w:t>
      </w:r>
      <w:r w:rsidR="11CA82AD" w:rsidRPr="4B07FD26">
        <w:t>For about 3 years within the activities of the LENSES Project</w:t>
      </w:r>
      <w:r w:rsidRPr="4B07FD26">
        <w:t xml:space="preserve">, </w:t>
      </w:r>
      <w:r w:rsidR="46DCA2D5" w:rsidRPr="4B07FD26">
        <w:t>the modelling activity regarding the Doñana region has involved</w:t>
      </w:r>
      <w:r w:rsidR="2302E6C9" w:rsidRPr="4B07FD26">
        <w:t xml:space="preserve"> tens of stakeholders and local experts in the definition of a </w:t>
      </w:r>
      <w:r w:rsidR="43B07430" w:rsidRPr="4B07FD26">
        <w:t xml:space="preserve">suitable framework inspired </w:t>
      </w:r>
      <w:r w:rsidR="00FB734F">
        <w:t>by</w:t>
      </w:r>
      <w:r w:rsidR="00FB734F" w:rsidRPr="4B07FD26">
        <w:t xml:space="preserve"> </w:t>
      </w:r>
      <w:r w:rsidR="32BF6FB2" w:rsidRPr="4B07FD26">
        <w:t>the water-ecosystem-food nexus approach</w:t>
      </w:r>
      <w:r w:rsidR="03D5A0BE" w:rsidRPr="4B07FD26">
        <w:t xml:space="preserve"> to evaluate possible sustainability scenarios including </w:t>
      </w:r>
      <w:r w:rsidR="4530BB8C" w:rsidRPr="4B07FD26">
        <w:t xml:space="preserve">socio-economic and </w:t>
      </w:r>
      <w:r w:rsidR="03D5A0BE" w:rsidRPr="4B07FD26">
        <w:t>climate change</w:t>
      </w:r>
      <w:r w:rsidR="5EDCCDFE" w:rsidRPr="4B07FD26">
        <w:t xml:space="preserve"> </w:t>
      </w:r>
      <w:r w:rsidR="4C48CAC9" w:rsidRPr="4B07FD26">
        <w:t>likely trajectories</w:t>
      </w:r>
      <w:r w:rsidR="32BF6FB2" w:rsidRPr="4B07FD26">
        <w:t xml:space="preserve">. </w:t>
      </w:r>
      <w:r w:rsidR="63E28FED" w:rsidRPr="4B07FD26">
        <w:t xml:space="preserve">This modelling process and its most relevant outcome </w:t>
      </w:r>
      <w:r w:rsidR="65DE48F3" w:rsidRPr="4B07FD26">
        <w:t xml:space="preserve">are briefly presented in the following sections. </w:t>
      </w:r>
    </w:p>
    <w:p w14:paraId="3013227B" w14:textId="77777777" w:rsidR="0028799E" w:rsidRDefault="0028799E" w:rsidP="0028799E">
      <w:pPr>
        <w:pStyle w:val="IAHRtext"/>
      </w:pPr>
    </w:p>
    <w:p w14:paraId="52CDFA90" w14:textId="2ED34BB9" w:rsidR="003D0180" w:rsidRDefault="00332222" w:rsidP="0028799E">
      <w:pPr>
        <w:pStyle w:val="IAHRheading1"/>
      </w:pPr>
      <w:r w:rsidRPr="4B07FD26">
        <w:t>Methodology</w:t>
      </w:r>
    </w:p>
    <w:p w14:paraId="3939821E" w14:textId="22B37067" w:rsidR="754C7728" w:rsidRDefault="754C7728" w:rsidP="0028799E">
      <w:pPr>
        <w:spacing w:before="120" w:after="0"/>
        <w:jc w:val="both"/>
        <w:rPr>
          <w:rFonts w:ascii="Times New Roman" w:eastAsia="Times New Roman" w:hAnsi="Times New Roman" w:cs="Times New Roman"/>
        </w:rPr>
      </w:pPr>
      <w:r w:rsidRPr="4B07FD26">
        <w:rPr>
          <w:rFonts w:ascii="Times New Roman" w:eastAsia="Times New Roman" w:hAnsi="Times New Roman" w:cs="Times New Roman"/>
        </w:rPr>
        <w:t>The value added of the model</w:t>
      </w:r>
      <w:r w:rsidR="00212C1E">
        <w:rPr>
          <w:rFonts w:ascii="Times New Roman" w:eastAsia="Times New Roman" w:hAnsi="Times New Roman" w:cs="Times New Roman"/>
        </w:rPr>
        <w:t>l</w:t>
      </w:r>
      <w:r w:rsidRPr="4B07FD26">
        <w:rPr>
          <w:rFonts w:ascii="Times New Roman" w:eastAsia="Times New Roman" w:hAnsi="Times New Roman" w:cs="Times New Roman"/>
        </w:rPr>
        <w:t>ing approach presented in this work is the direct involvement of stakeholders in SDM development and analysis</w:t>
      </w:r>
      <w:r w:rsidR="3735BF7F" w:rsidRPr="4B07FD26">
        <w:rPr>
          <w:rFonts w:ascii="Times New Roman" w:eastAsia="Times New Roman" w:hAnsi="Times New Roman" w:cs="Times New Roman"/>
        </w:rPr>
        <w:t xml:space="preserve"> </w:t>
      </w:r>
      <w:r w:rsidR="00212C1E">
        <w:rPr>
          <w:rFonts w:ascii="Times New Roman" w:eastAsia="Times New Roman" w:hAnsi="Times New Roman" w:cs="Times New Roman"/>
        </w:rPr>
        <w:t xml:space="preserve">processes </w:t>
      </w:r>
      <w:r w:rsidR="3735BF7F" w:rsidRPr="4B07FD26">
        <w:rPr>
          <w:rFonts w:ascii="Times New Roman" w:eastAsia="Times New Roman" w:hAnsi="Times New Roman" w:cs="Times New Roman"/>
        </w:rPr>
        <w:t>(Fig. 2)</w:t>
      </w:r>
      <w:r w:rsidRPr="4B07FD26">
        <w:rPr>
          <w:rFonts w:ascii="Times New Roman" w:eastAsia="Times New Roman" w:hAnsi="Times New Roman" w:cs="Times New Roman"/>
        </w:rPr>
        <w:t xml:space="preserve">. In this regard, a series of individual interviews and workshops have been organized throughout </w:t>
      </w:r>
      <w:r w:rsidR="00212C1E">
        <w:rPr>
          <w:rFonts w:ascii="Times New Roman" w:eastAsia="Times New Roman" w:hAnsi="Times New Roman" w:cs="Times New Roman"/>
        </w:rPr>
        <w:t xml:space="preserve">the </w:t>
      </w:r>
      <w:r w:rsidRPr="4B07FD26">
        <w:rPr>
          <w:rFonts w:ascii="Times New Roman" w:eastAsia="Times New Roman" w:hAnsi="Times New Roman" w:cs="Times New Roman"/>
        </w:rPr>
        <w:t xml:space="preserve">project duration to elicit stakeholder knowledge on the main </w:t>
      </w:r>
      <w:r w:rsidRPr="4B07FD26">
        <w:rPr>
          <w:rFonts w:ascii="Times New Roman" w:eastAsia="Times New Roman" w:hAnsi="Times New Roman" w:cs="Times New Roman"/>
        </w:rPr>
        <w:lastRenderedPageBreak/>
        <w:t>challenges over the area, ultimately feeding the Causal Loop Diagram (CLD). The CLD was used to get a holistic perspective on the system under investigation, helping to analyze in a structured way the conflicts between intensive water users (such as green-house farmers) and environmental organizations interested in the protection of marshland ecosystems. In particular, during the first workshop a participatory mapping exercise was performed, to represent the complexity of the main processes (including bio-physical, socio-economic</w:t>
      </w:r>
      <w:r w:rsidR="00212C1E">
        <w:rPr>
          <w:rFonts w:ascii="Times New Roman" w:eastAsia="Times New Roman" w:hAnsi="Times New Roman" w:cs="Times New Roman"/>
        </w:rPr>
        <w:t>,</w:t>
      </w:r>
      <w:r w:rsidRPr="4B07FD26">
        <w:rPr>
          <w:rFonts w:ascii="Times New Roman" w:eastAsia="Times New Roman" w:hAnsi="Times New Roman" w:cs="Times New Roman"/>
        </w:rPr>
        <w:t xml:space="preserve"> and behavioral variables) characterizing the study area. Stakeholders helped identify the main processes, the central variables</w:t>
      </w:r>
      <w:r w:rsidR="00212C1E">
        <w:rPr>
          <w:rFonts w:ascii="Times New Roman" w:eastAsia="Times New Roman" w:hAnsi="Times New Roman" w:cs="Times New Roman"/>
        </w:rPr>
        <w:t>,</w:t>
      </w:r>
      <w:r w:rsidRPr="4B07FD26">
        <w:rPr>
          <w:rFonts w:ascii="Times New Roman" w:eastAsia="Times New Roman" w:hAnsi="Times New Roman" w:cs="Times New Roman"/>
        </w:rPr>
        <w:t xml:space="preserve"> and critical interdependencies, supporting the definition of a comprehensive system picture.</w:t>
      </w:r>
    </w:p>
    <w:p w14:paraId="3F1C2FDF" w14:textId="072389BA" w:rsidR="5228A244" w:rsidRDefault="5228A244" w:rsidP="4B07FD26">
      <w:p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rPr>
      </w:pPr>
      <w:r>
        <w:rPr>
          <w:noProof/>
        </w:rPr>
        <w:drawing>
          <wp:inline distT="0" distB="0" distL="0" distR="0" wp14:anchorId="44620971" wp14:editId="557AB583">
            <wp:extent cx="6225980" cy="3166518"/>
            <wp:effectExtent l="0" t="0" r="0" b="0"/>
            <wp:docPr id="1880909419" name="image4.jpg" descr="Immagine che contiene testo, linea, diagramma, Caratter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28">
                      <a:extLst>
                        <a:ext uri="{28A0092B-C50C-407E-A947-70E740481C1C}">
                          <a14:useLocalDpi xmlns:a14="http://schemas.microsoft.com/office/drawing/2010/main" val="0"/>
                        </a:ext>
                      </a:extLst>
                    </a:blip>
                    <a:srcRect l="123" t="227" r="-123" b="5633"/>
                    <a:stretch>
                      <a:fillRect/>
                    </a:stretch>
                  </pic:blipFill>
                  <pic:spPr>
                    <a:xfrm>
                      <a:off x="0" y="0"/>
                      <a:ext cx="6225980" cy="3166518"/>
                    </a:xfrm>
                    <a:prstGeom prst="rect">
                      <a:avLst/>
                    </a:prstGeom>
                    <a:ln/>
                  </pic:spPr>
                </pic:pic>
              </a:graphicData>
            </a:graphic>
          </wp:inline>
        </w:drawing>
      </w:r>
    </w:p>
    <w:p w14:paraId="2EA12D5F" w14:textId="002DD0CA" w:rsidR="5228A244" w:rsidRDefault="5228A244" w:rsidP="4B07FD26">
      <w:pPr>
        <w:pBdr>
          <w:top w:val="nil"/>
          <w:left w:val="nil"/>
          <w:bottom w:val="nil"/>
          <w:right w:val="nil"/>
          <w:between w:val="nil"/>
        </w:pBdr>
        <w:spacing w:before="60" w:after="0" w:line="240" w:lineRule="auto"/>
        <w:jc w:val="center"/>
        <w:rPr>
          <w:rFonts w:ascii="Times New Roman" w:eastAsia="Times New Roman" w:hAnsi="Times New Roman" w:cs="Times New Roman"/>
          <w:color w:val="000000" w:themeColor="text1"/>
          <w:sz w:val="17"/>
          <w:szCs w:val="17"/>
        </w:rPr>
      </w:pPr>
      <w:r w:rsidRPr="4B07FD26">
        <w:rPr>
          <w:rFonts w:ascii="Times New Roman" w:eastAsia="Times New Roman" w:hAnsi="Times New Roman" w:cs="Times New Roman"/>
          <w:b/>
          <w:bCs/>
          <w:color w:val="000000" w:themeColor="text1"/>
          <w:sz w:val="17"/>
          <w:szCs w:val="17"/>
        </w:rPr>
        <w:t xml:space="preserve">Fig. 2. </w:t>
      </w:r>
      <w:r w:rsidRPr="4B07FD26">
        <w:rPr>
          <w:rFonts w:ascii="Times New Roman" w:eastAsia="Times New Roman" w:hAnsi="Times New Roman" w:cs="Times New Roman"/>
          <w:color w:val="000000" w:themeColor="text1"/>
          <w:sz w:val="17"/>
          <w:szCs w:val="17"/>
        </w:rPr>
        <w:t>Operating scheme of integrating modelling</w:t>
      </w:r>
    </w:p>
    <w:p w14:paraId="020DD0D1" w14:textId="77777777" w:rsidR="4B07FD26" w:rsidRDefault="4B07FD26" w:rsidP="4B07FD26">
      <w:pPr>
        <w:pBdr>
          <w:top w:val="nil"/>
          <w:left w:val="nil"/>
          <w:bottom w:val="nil"/>
          <w:right w:val="nil"/>
          <w:between w:val="nil"/>
        </w:pBdr>
        <w:spacing w:before="60" w:after="0" w:line="240" w:lineRule="auto"/>
        <w:jc w:val="center"/>
        <w:rPr>
          <w:rFonts w:ascii="Times New Roman" w:eastAsia="Times New Roman" w:hAnsi="Times New Roman" w:cs="Times New Roman"/>
          <w:color w:val="000000" w:themeColor="text1"/>
          <w:sz w:val="17"/>
          <w:szCs w:val="17"/>
        </w:rPr>
      </w:pPr>
    </w:p>
    <w:p w14:paraId="170BED38" w14:textId="30EC57B5" w:rsidR="4B07FD26" w:rsidRDefault="4B07FD26" w:rsidP="4B07FD26">
      <w:pPr>
        <w:spacing w:before="120" w:after="0"/>
        <w:jc w:val="both"/>
        <w:rPr>
          <w:rFonts w:ascii="Times New Roman" w:eastAsia="Times New Roman" w:hAnsi="Times New Roman" w:cs="Times New Roman"/>
          <w:color w:val="000000" w:themeColor="text1"/>
        </w:rPr>
      </w:pPr>
    </w:p>
    <w:p w14:paraId="0303EED3" w14:textId="5ED94CFB" w:rsidR="4A164C39" w:rsidRPr="000321A8" w:rsidRDefault="166B0C37" w:rsidP="4B07FD26">
      <w:pPr>
        <w:spacing w:before="120" w:after="0"/>
        <w:jc w:val="both"/>
        <w:rPr>
          <w:rFonts w:ascii="Aptos" w:eastAsia="Times New Roman" w:hAnsi="Aptos" w:cs="Times New Roman"/>
          <w:noProof/>
          <w:kern w:val="2"/>
          <w:sz w:val="24"/>
          <w:szCs w:val="24"/>
          <w:lang w:val="en-GB" w:eastAsia="it-IT"/>
          <w14:ligatures w14:val="standardContextual"/>
        </w:rPr>
      </w:pPr>
      <w:r w:rsidRPr="4B07FD26">
        <w:rPr>
          <w:rFonts w:ascii="Times New Roman" w:eastAsia="Times New Roman" w:hAnsi="Times New Roman" w:cs="Times New Roman"/>
          <w:color w:val="000000" w:themeColor="text1"/>
        </w:rPr>
        <w:t xml:space="preserve">A physically based modelling </w:t>
      </w:r>
      <w:r w:rsidR="4B245938" w:rsidRPr="4B07FD26">
        <w:rPr>
          <w:rFonts w:ascii="Times New Roman" w:eastAsia="Times New Roman" w:hAnsi="Times New Roman" w:cs="Times New Roman"/>
          <w:color w:val="000000" w:themeColor="text1"/>
        </w:rPr>
        <w:t xml:space="preserve">(HEC-HMS) </w:t>
      </w:r>
      <w:r w:rsidRPr="4B07FD26">
        <w:rPr>
          <w:rFonts w:ascii="Times New Roman" w:eastAsia="Times New Roman" w:hAnsi="Times New Roman" w:cs="Times New Roman"/>
          <w:color w:val="000000" w:themeColor="text1"/>
        </w:rPr>
        <w:t xml:space="preserve">was used in </w:t>
      </w:r>
      <w:r w:rsidR="73705C27" w:rsidRPr="4B07FD26">
        <w:rPr>
          <w:rFonts w:ascii="Times New Roman" w:eastAsia="Times New Roman" w:hAnsi="Times New Roman" w:cs="Times New Roman"/>
          <w:color w:val="000000" w:themeColor="text1"/>
        </w:rPr>
        <w:t>parallel to the stakeholder enga</w:t>
      </w:r>
      <w:r w:rsidR="6E7EDAAA" w:rsidRPr="4B07FD26">
        <w:rPr>
          <w:rFonts w:ascii="Times New Roman" w:eastAsia="Times New Roman" w:hAnsi="Times New Roman" w:cs="Times New Roman"/>
          <w:color w:val="000000" w:themeColor="text1"/>
        </w:rPr>
        <w:t>ge</w:t>
      </w:r>
      <w:r w:rsidR="73705C27" w:rsidRPr="4B07FD26">
        <w:rPr>
          <w:rFonts w:ascii="Times New Roman" w:eastAsia="Times New Roman" w:hAnsi="Times New Roman" w:cs="Times New Roman"/>
          <w:color w:val="000000" w:themeColor="text1"/>
        </w:rPr>
        <w:t xml:space="preserve">ment </w:t>
      </w:r>
      <w:r w:rsidRPr="4B07FD26">
        <w:rPr>
          <w:rFonts w:ascii="Times New Roman" w:eastAsia="Times New Roman" w:hAnsi="Times New Roman" w:cs="Times New Roman"/>
          <w:color w:val="000000" w:themeColor="text1"/>
        </w:rPr>
        <w:t xml:space="preserve">to characterize the </w:t>
      </w:r>
      <w:r w:rsidR="00F4579C">
        <w:rPr>
          <w:rFonts w:ascii="Times New Roman" w:eastAsia="Times New Roman" w:hAnsi="Times New Roman" w:cs="Times New Roman"/>
          <w:color w:val="000000" w:themeColor="text1"/>
        </w:rPr>
        <w:t xml:space="preserve">surface </w:t>
      </w:r>
      <w:r w:rsidRPr="4B07FD26">
        <w:rPr>
          <w:rFonts w:ascii="Times New Roman" w:eastAsia="Times New Roman" w:hAnsi="Times New Roman" w:cs="Times New Roman"/>
          <w:color w:val="000000" w:themeColor="text1"/>
        </w:rPr>
        <w:t xml:space="preserve">hydrological </w:t>
      </w:r>
      <w:r w:rsidR="794CD199" w:rsidRPr="4B07FD26">
        <w:rPr>
          <w:rFonts w:ascii="Times New Roman" w:eastAsia="Times New Roman" w:hAnsi="Times New Roman" w:cs="Times New Roman"/>
          <w:color w:val="000000" w:themeColor="text1"/>
        </w:rPr>
        <w:t xml:space="preserve">response of the </w:t>
      </w:r>
      <w:r w:rsidRPr="4B07FD26">
        <w:rPr>
          <w:rFonts w:ascii="Times New Roman" w:eastAsia="Times New Roman" w:hAnsi="Times New Roman" w:cs="Times New Roman"/>
          <w:color w:val="000000" w:themeColor="text1"/>
        </w:rPr>
        <w:t xml:space="preserve">whole </w:t>
      </w:r>
      <w:r w:rsidR="781AE145" w:rsidRPr="4B07FD26">
        <w:rPr>
          <w:rFonts w:ascii="Times New Roman" w:eastAsia="Times New Roman" w:hAnsi="Times New Roman" w:cs="Times New Roman"/>
          <w:color w:val="000000" w:themeColor="text1"/>
        </w:rPr>
        <w:t xml:space="preserve">study </w:t>
      </w:r>
      <w:r w:rsidRPr="4B07FD26">
        <w:rPr>
          <w:rFonts w:ascii="Times New Roman" w:eastAsia="Times New Roman" w:hAnsi="Times New Roman" w:cs="Times New Roman"/>
          <w:color w:val="000000" w:themeColor="text1"/>
        </w:rPr>
        <w:t xml:space="preserve">area. This type of model used hydrological input data such as temperatures, rainfall, land cover, elevation data, </w:t>
      </w:r>
      <w:r w:rsidR="00212C1E">
        <w:rPr>
          <w:rFonts w:ascii="Times New Roman" w:eastAsia="Times New Roman" w:hAnsi="Times New Roman" w:cs="Times New Roman"/>
          <w:color w:val="000000" w:themeColor="text1"/>
        </w:rPr>
        <w:t xml:space="preserve">and </w:t>
      </w:r>
      <w:r w:rsidRPr="4B07FD26">
        <w:rPr>
          <w:rFonts w:ascii="Times New Roman" w:eastAsia="Times New Roman" w:hAnsi="Times New Roman" w:cs="Times New Roman"/>
          <w:color w:val="000000" w:themeColor="text1"/>
        </w:rPr>
        <w:t>available flow data records (Gil Gil et al., 2024)</w:t>
      </w:r>
      <w:r w:rsidR="0C5F8859" w:rsidRPr="4B07FD26">
        <w:rPr>
          <w:rFonts w:ascii="Times New Roman" w:eastAsia="Times New Roman" w:hAnsi="Times New Roman" w:cs="Times New Roman"/>
          <w:color w:val="000000" w:themeColor="text1"/>
        </w:rPr>
        <w:t xml:space="preserve"> </w:t>
      </w:r>
      <w:r w:rsidRPr="4B07FD26">
        <w:rPr>
          <w:rFonts w:ascii="Times New Roman" w:eastAsia="Times New Roman" w:hAnsi="Times New Roman" w:cs="Times New Roman"/>
          <w:color w:val="000000" w:themeColor="text1"/>
        </w:rPr>
        <w:t xml:space="preserve">to define the surface hydrology </w:t>
      </w:r>
      <w:r w:rsidR="00212C1E">
        <w:rPr>
          <w:rFonts w:ascii="Times New Roman" w:eastAsia="Times New Roman" w:hAnsi="Times New Roman" w:cs="Times New Roman"/>
          <w:color w:val="000000" w:themeColor="text1"/>
        </w:rPr>
        <w:t xml:space="preserve">(rainfall-runoff process) </w:t>
      </w:r>
      <w:r w:rsidRPr="4B07FD26">
        <w:rPr>
          <w:rFonts w:ascii="Times New Roman" w:eastAsia="Times New Roman" w:hAnsi="Times New Roman" w:cs="Times New Roman"/>
          <w:color w:val="000000" w:themeColor="text1"/>
        </w:rPr>
        <w:t>of the entire analyzed region (3</w:t>
      </w:r>
      <w:r w:rsidR="003072DF">
        <w:rPr>
          <w:rFonts w:ascii="Times New Roman" w:eastAsia="Times New Roman" w:hAnsi="Times New Roman" w:cs="Times New Roman"/>
          <w:color w:val="000000" w:themeColor="text1"/>
        </w:rPr>
        <w:t>,</w:t>
      </w:r>
      <w:r w:rsidRPr="4B07FD26">
        <w:rPr>
          <w:rFonts w:ascii="Times New Roman" w:eastAsia="Times New Roman" w:hAnsi="Times New Roman" w:cs="Times New Roman"/>
          <w:color w:val="000000" w:themeColor="text1"/>
        </w:rPr>
        <w:t>723 km</w:t>
      </w:r>
      <w:r w:rsidRPr="00574D33">
        <w:rPr>
          <w:rFonts w:ascii="Times New Roman" w:eastAsia="Times New Roman" w:hAnsi="Times New Roman" w:cs="Times New Roman"/>
          <w:color w:val="000000" w:themeColor="text1"/>
          <w:vertAlign w:val="superscript"/>
        </w:rPr>
        <w:t>2</w:t>
      </w:r>
      <w:r w:rsidRPr="4B07FD26">
        <w:rPr>
          <w:rFonts w:ascii="Times New Roman" w:eastAsia="Times New Roman" w:hAnsi="Times New Roman" w:cs="Times New Roman"/>
          <w:color w:val="000000" w:themeColor="text1"/>
        </w:rPr>
        <w:t>).</w:t>
      </w:r>
      <w:r w:rsidR="60F3F96A" w:rsidRPr="4B07FD26">
        <w:rPr>
          <w:rFonts w:ascii="Times New Roman" w:eastAsia="Times New Roman" w:hAnsi="Times New Roman" w:cs="Times New Roman"/>
          <w:color w:val="000000" w:themeColor="text1"/>
        </w:rPr>
        <w:t xml:space="preserve"> </w:t>
      </w:r>
      <w:r w:rsidR="04E56969" w:rsidRPr="4B07FD26">
        <w:rPr>
          <w:rFonts w:ascii="Times New Roman" w:eastAsia="Times New Roman" w:hAnsi="Times New Roman" w:cs="Times New Roman"/>
          <w:color w:val="000000" w:themeColor="text1"/>
        </w:rPr>
        <w:t>Concerning</w:t>
      </w:r>
      <w:r w:rsidR="71B44AE1" w:rsidRPr="4B07FD26">
        <w:rPr>
          <w:rFonts w:ascii="Times New Roman" w:eastAsia="Times New Roman" w:hAnsi="Times New Roman" w:cs="Times New Roman"/>
          <w:color w:val="000000" w:themeColor="text1"/>
        </w:rPr>
        <w:t xml:space="preserve"> groundwater resources, a </w:t>
      </w:r>
      <w:r w:rsidR="754C7728" w:rsidRPr="4B07FD26">
        <w:rPr>
          <w:rFonts w:ascii="Times New Roman" w:eastAsia="Times New Roman" w:hAnsi="Times New Roman" w:cs="Times New Roman"/>
        </w:rPr>
        <w:t xml:space="preserve">key challenge identified for the area </w:t>
      </w:r>
      <w:r w:rsidR="45BEF6BA" w:rsidRPr="4B07FD26">
        <w:rPr>
          <w:rFonts w:ascii="Times New Roman" w:eastAsia="Times New Roman" w:hAnsi="Times New Roman" w:cs="Times New Roman"/>
          <w:color w:val="000000" w:themeColor="text1"/>
        </w:rPr>
        <w:t xml:space="preserve">was </w:t>
      </w:r>
      <w:r w:rsidR="754C7728" w:rsidRPr="4B07FD26">
        <w:rPr>
          <w:rFonts w:ascii="Times New Roman" w:eastAsia="Times New Roman" w:hAnsi="Times New Roman" w:cs="Times New Roman"/>
        </w:rPr>
        <w:t xml:space="preserve">the </w:t>
      </w:r>
      <w:r w:rsidR="5CEF5E26" w:rsidRPr="4B07FD26">
        <w:rPr>
          <w:rFonts w:ascii="Times New Roman" w:eastAsia="Times New Roman" w:hAnsi="Times New Roman" w:cs="Times New Roman"/>
        </w:rPr>
        <w:t xml:space="preserve">unsustainable </w:t>
      </w:r>
      <w:r w:rsidR="754C7728" w:rsidRPr="4B07FD26">
        <w:rPr>
          <w:rFonts w:ascii="Times New Roman" w:eastAsia="Times New Roman" w:hAnsi="Times New Roman" w:cs="Times New Roman"/>
        </w:rPr>
        <w:t xml:space="preserve">exploitation of </w:t>
      </w:r>
      <w:r w:rsidR="78490E8A" w:rsidRPr="4B07FD26">
        <w:rPr>
          <w:rFonts w:ascii="Times New Roman" w:eastAsia="Times New Roman" w:hAnsi="Times New Roman" w:cs="Times New Roman"/>
          <w:color w:val="000000" w:themeColor="text1"/>
        </w:rPr>
        <w:t xml:space="preserve">aquifers </w:t>
      </w:r>
      <w:r w:rsidR="754C7728" w:rsidRPr="4B07FD26">
        <w:rPr>
          <w:rFonts w:ascii="Times New Roman" w:eastAsia="Times New Roman" w:hAnsi="Times New Roman" w:cs="Times New Roman"/>
        </w:rPr>
        <w:t xml:space="preserve">reducing the </w:t>
      </w:r>
      <w:r w:rsidR="330F65B0" w:rsidRPr="4B07FD26">
        <w:rPr>
          <w:rFonts w:ascii="Times New Roman" w:eastAsia="Times New Roman" w:hAnsi="Times New Roman" w:cs="Times New Roman"/>
        </w:rPr>
        <w:t>river baseflow</w:t>
      </w:r>
      <w:r w:rsidR="0CFC75CB" w:rsidRPr="4B07FD26">
        <w:rPr>
          <w:rFonts w:ascii="Times New Roman" w:eastAsia="Times New Roman" w:hAnsi="Times New Roman" w:cs="Times New Roman"/>
        </w:rPr>
        <w:t xml:space="preserve">. </w:t>
      </w:r>
      <w:r w:rsidR="4C35DEBD" w:rsidRPr="4B07FD26">
        <w:rPr>
          <w:rFonts w:ascii="Times New Roman" w:eastAsia="Times New Roman" w:hAnsi="Times New Roman" w:cs="Times New Roman"/>
          <w:color w:val="000000" w:themeColor="text1"/>
        </w:rPr>
        <w:t xml:space="preserve">The hydrological model’s output produced at </w:t>
      </w:r>
      <w:r w:rsidR="00212C1E">
        <w:rPr>
          <w:rFonts w:ascii="Times New Roman" w:eastAsia="Times New Roman" w:hAnsi="Times New Roman" w:cs="Times New Roman"/>
          <w:color w:val="000000" w:themeColor="text1"/>
        </w:rPr>
        <w:t xml:space="preserve">the </w:t>
      </w:r>
      <w:r w:rsidR="4C35DEBD" w:rsidRPr="4B07FD26">
        <w:rPr>
          <w:rFonts w:ascii="Times New Roman" w:eastAsia="Times New Roman" w:hAnsi="Times New Roman" w:cs="Times New Roman"/>
          <w:color w:val="000000" w:themeColor="text1"/>
        </w:rPr>
        <w:t>basin-scale informed the Participatory System Dynamics Model (PSDM) and the water allocation modelling.</w:t>
      </w:r>
      <w:r w:rsidR="6CB44106" w:rsidRPr="4B07FD26">
        <w:rPr>
          <w:rFonts w:ascii="Times New Roman" w:eastAsia="Times New Roman" w:hAnsi="Times New Roman" w:cs="Times New Roman"/>
          <w:color w:val="000000" w:themeColor="text1"/>
        </w:rPr>
        <w:t xml:space="preserve"> In particular, </w:t>
      </w:r>
      <w:r w:rsidR="6BD6AFB2" w:rsidRPr="4B07FD26">
        <w:rPr>
          <w:rFonts w:ascii="Times New Roman" w:eastAsia="Times New Roman" w:hAnsi="Times New Roman" w:cs="Times New Roman"/>
          <w:color w:val="000000" w:themeColor="text1"/>
        </w:rPr>
        <w:t xml:space="preserve">the </w:t>
      </w:r>
      <w:r w:rsidR="6CB44106" w:rsidRPr="4B07FD26">
        <w:rPr>
          <w:rFonts w:ascii="Times New Roman" w:eastAsia="Times New Roman" w:hAnsi="Times New Roman" w:cs="Times New Roman"/>
          <w:color w:val="000000" w:themeColor="text1"/>
        </w:rPr>
        <w:t>WEAP</w:t>
      </w:r>
      <w:r w:rsidR="01BAA647" w:rsidRPr="4B07FD26">
        <w:rPr>
          <w:rFonts w:ascii="Times New Roman" w:eastAsia="Times New Roman" w:hAnsi="Times New Roman" w:cs="Times New Roman"/>
          <w:color w:val="000000" w:themeColor="text1"/>
        </w:rPr>
        <w:t xml:space="preserve"> model</w:t>
      </w:r>
      <w:r w:rsidR="4273EE96" w:rsidRPr="4B07FD26">
        <w:rPr>
          <w:rFonts w:ascii="Times New Roman" w:eastAsia="Times New Roman" w:hAnsi="Times New Roman" w:cs="Times New Roman"/>
          <w:color w:val="000000" w:themeColor="text1"/>
        </w:rPr>
        <w:t xml:space="preserve">, </w:t>
      </w:r>
      <w:r w:rsidR="6CB44106" w:rsidRPr="4B07FD26">
        <w:rPr>
          <w:rFonts w:ascii="Times New Roman" w:eastAsia="Times New Roman" w:hAnsi="Times New Roman" w:cs="Times New Roman"/>
          <w:color w:val="000000" w:themeColor="text1"/>
        </w:rPr>
        <w:t xml:space="preserve">was used </w:t>
      </w:r>
      <w:r w:rsidR="4AA51E9E" w:rsidRPr="4B07FD26">
        <w:rPr>
          <w:rFonts w:ascii="Times New Roman" w:eastAsia="Times New Roman" w:hAnsi="Times New Roman" w:cs="Times New Roman"/>
          <w:color w:val="000000" w:themeColor="text1"/>
        </w:rPr>
        <w:t xml:space="preserve">to evaluate intersectoral water demand-supply relationships. </w:t>
      </w:r>
      <w:r w:rsidR="6CB44106" w:rsidRPr="4B07FD26">
        <w:rPr>
          <w:rFonts w:ascii="Times New Roman" w:eastAsia="Times New Roman" w:hAnsi="Times New Roman" w:cs="Times New Roman"/>
          <w:color w:val="000000" w:themeColor="text1"/>
        </w:rPr>
        <w:t xml:space="preserve">This type of model, unlike the CLD, which has a qualitative aspect, allows </w:t>
      </w:r>
      <w:r w:rsidR="00212C1E">
        <w:rPr>
          <w:rFonts w:ascii="Times New Roman" w:eastAsia="Times New Roman" w:hAnsi="Times New Roman" w:cs="Times New Roman"/>
          <w:color w:val="000000" w:themeColor="text1"/>
        </w:rPr>
        <w:t xml:space="preserve">one </w:t>
      </w:r>
      <w:r w:rsidR="6CB44106" w:rsidRPr="4B07FD26">
        <w:rPr>
          <w:rFonts w:ascii="Times New Roman" w:eastAsia="Times New Roman" w:hAnsi="Times New Roman" w:cs="Times New Roman"/>
          <w:color w:val="000000" w:themeColor="text1"/>
        </w:rPr>
        <w:t>to obtain quantitative output</w:t>
      </w:r>
      <w:r w:rsidR="00212C1E">
        <w:rPr>
          <w:rFonts w:ascii="Times New Roman" w:eastAsia="Times New Roman" w:hAnsi="Times New Roman" w:cs="Times New Roman"/>
          <w:color w:val="000000" w:themeColor="text1"/>
        </w:rPr>
        <w:t>s</w:t>
      </w:r>
      <w:r w:rsidR="1E2B9855" w:rsidRPr="4B07FD26">
        <w:rPr>
          <w:rFonts w:ascii="Times New Roman" w:eastAsia="Times New Roman" w:hAnsi="Times New Roman" w:cs="Times New Roman"/>
          <w:color w:val="000000" w:themeColor="text1"/>
        </w:rPr>
        <w:t xml:space="preserve"> related to specific spatial f</w:t>
      </w:r>
      <w:r w:rsidR="052ADA5F" w:rsidRPr="4B07FD26">
        <w:rPr>
          <w:rFonts w:ascii="Times New Roman" w:eastAsia="Times New Roman" w:hAnsi="Times New Roman" w:cs="Times New Roman"/>
          <w:color w:val="000000" w:themeColor="text1"/>
        </w:rPr>
        <w:t xml:space="preserve">eatures </w:t>
      </w:r>
      <w:r w:rsidR="1E2B9855" w:rsidRPr="4B07FD26">
        <w:rPr>
          <w:rFonts w:ascii="Times New Roman" w:eastAsia="Times New Roman" w:hAnsi="Times New Roman" w:cs="Times New Roman"/>
          <w:color w:val="000000" w:themeColor="text1"/>
        </w:rPr>
        <w:t xml:space="preserve">using </w:t>
      </w:r>
      <w:r w:rsidR="6CB44106" w:rsidRPr="4B07FD26">
        <w:rPr>
          <w:rFonts w:ascii="Times New Roman" w:eastAsia="Times New Roman" w:hAnsi="Times New Roman" w:cs="Times New Roman"/>
          <w:color w:val="000000" w:themeColor="text1"/>
        </w:rPr>
        <w:t xml:space="preserve">the topological scheme already identified in the CLD. The sources of supply and demand are expressed through nodes </w:t>
      </w:r>
      <w:r w:rsidR="08D40AC8" w:rsidRPr="4B07FD26">
        <w:rPr>
          <w:rFonts w:ascii="Times New Roman" w:eastAsia="Times New Roman" w:hAnsi="Times New Roman" w:cs="Times New Roman"/>
          <w:color w:val="000000" w:themeColor="text1"/>
        </w:rPr>
        <w:t xml:space="preserve">connected </w:t>
      </w:r>
      <w:r w:rsidR="6CB44106" w:rsidRPr="4B07FD26">
        <w:rPr>
          <w:rFonts w:ascii="Times New Roman" w:eastAsia="Times New Roman" w:hAnsi="Times New Roman" w:cs="Times New Roman"/>
          <w:color w:val="000000" w:themeColor="text1"/>
        </w:rPr>
        <w:t>by links.</w:t>
      </w:r>
      <w:r w:rsidR="00212C1E">
        <w:rPr>
          <w:rFonts w:ascii="Times New Roman" w:eastAsia="Times New Roman" w:hAnsi="Times New Roman" w:cs="Times New Roman"/>
          <w:color w:val="000000" w:themeColor="text1"/>
        </w:rPr>
        <w:t xml:space="preserve"> </w:t>
      </w:r>
      <w:r w:rsidR="196AE148" w:rsidRPr="4B07FD26">
        <w:rPr>
          <w:rFonts w:ascii="Times New Roman" w:eastAsia="Times New Roman" w:hAnsi="Times New Roman" w:cs="Times New Roman"/>
          <w:color w:val="000000" w:themeColor="text1"/>
        </w:rPr>
        <w:t xml:space="preserve">Since </w:t>
      </w:r>
      <w:r w:rsidR="45240342" w:rsidRPr="4B07FD26">
        <w:rPr>
          <w:rFonts w:ascii="Times New Roman" w:eastAsia="Times New Roman" w:hAnsi="Times New Roman" w:cs="Times New Roman"/>
          <w:color w:val="000000" w:themeColor="text1"/>
        </w:rPr>
        <w:t>CLD</w:t>
      </w:r>
      <w:r w:rsidR="00212C1E">
        <w:rPr>
          <w:rFonts w:ascii="Times New Roman" w:eastAsia="Times New Roman" w:hAnsi="Times New Roman" w:cs="Times New Roman"/>
          <w:color w:val="000000" w:themeColor="text1"/>
        </w:rPr>
        <w:t>s</w:t>
      </w:r>
      <w:r w:rsidR="45240342" w:rsidRPr="4B07FD26">
        <w:rPr>
          <w:rFonts w:ascii="Times New Roman" w:eastAsia="Times New Roman" w:hAnsi="Times New Roman" w:cs="Times New Roman"/>
          <w:color w:val="000000" w:themeColor="text1"/>
        </w:rPr>
        <w:t xml:space="preserve"> are patterns that highlight cause/effect relationships</w:t>
      </w:r>
      <w:r w:rsidR="5095BBFA" w:rsidRPr="4B07FD26">
        <w:rPr>
          <w:rFonts w:ascii="Times New Roman" w:eastAsia="Times New Roman" w:hAnsi="Times New Roman" w:cs="Times New Roman"/>
          <w:color w:val="000000" w:themeColor="text1"/>
        </w:rPr>
        <w:t xml:space="preserve">, </w:t>
      </w:r>
      <w:r w:rsidR="45240342" w:rsidRPr="4B07FD26">
        <w:rPr>
          <w:rFonts w:ascii="Times New Roman" w:eastAsia="Times New Roman" w:hAnsi="Times New Roman" w:cs="Times New Roman"/>
          <w:color w:val="000000" w:themeColor="text1"/>
        </w:rPr>
        <w:t xml:space="preserve">it is possible to </w:t>
      </w:r>
      <w:r w:rsidR="3F60FC4F" w:rsidRPr="4B07FD26">
        <w:rPr>
          <w:rFonts w:ascii="Times New Roman" w:eastAsia="Times New Roman" w:hAnsi="Times New Roman" w:cs="Times New Roman"/>
          <w:color w:val="000000" w:themeColor="text1"/>
        </w:rPr>
        <w:t xml:space="preserve">use them to highlight </w:t>
      </w:r>
      <w:r w:rsidR="00212C1E">
        <w:rPr>
          <w:rFonts w:ascii="Times New Roman" w:eastAsia="Times New Roman" w:hAnsi="Times New Roman" w:cs="Times New Roman"/>
          <w:color w:val="000000" w:themeColor="text1"/>
        </w:rPr>
        <w:t xml:space="preserve">the </w:t>
      </w:r>
      <w:r w:rsidR="45240342" w:rsidRPr="4B07FD26">
        <w:rPr>
          <w:rFonts w:ascii="Times New Roman" w:eastAsia="Times New Roman" w:hAnsi="Times New Roman" w:cs="Times New Roman"/>
          <w:color w:val="000000" w:themeColor="text1"/>
        </w:rPr>
        <w:t xml:space="preserve">main conflicts in the study area to conduct the analysis in a structured manner. Through the CLD, the PSDM is able to dialogue with the sectoral models such as water allocation/accounting. </w:t>
      </w:r>
      <w:r w:rsidR="754C7728" w:rsidRPr="4B07FD26">
        <w:rPr>
          <w:rFonts w:ascii="Times New Roman" w:eastAsia="Times New Roman" w:hAnsi="Times New Roman" w:cs="Times New Roman"/>
        </w:rPr>
        <w:t xml:space="preserve">The analysis of the CLD supported the central role of water security for the state of the area, </w:t>
      </w:r>
      <w:r w:rsidR="5CCA2E20" w:rsidRPr="4B07FD26">
        <w:rPr>
          <w:rFonts w:ascii="Times New Roman" w:eastAsia="Times New Roman" w:hAnsi="Times New Roman" w:cs="Times New Roman"/>
        </w:rPr>
        <w:t xml:space="preserve">while </w:t>
      </w:r>
      <w:r w:rsidR="754C7728" w:rsidRPr="4B07FD26">
        <w:rPr>
          <w:rFonts w:ascii="Times New Roman" w:eastAsia="Times New Roman" w:hAnsi="Times New Roman" w:cs="Times New Roman"/>
        </w:rPr>
        <w:t>WEAP was used to investigate water management options</w:t>
      </w:r>
      <w:r w:rsidR="3C2C31B1" w:rsidRPr="4B07FD26">
        <w:rPr>
          <w:rFonts w:ascii="Times New Roman" w:eastAsia="Times New Roman" w:hAnsi="Times New Roman" w:cs="Times New Roman"/>
        </w:rPr>
        <w:t xml:space="preserve"> and the need to undertake strategies for the restoration of the different natural ecosystems (marshland and temporary</w:t>
      </w:r>
      <w:r w:rsidR="001F00B3">
        <w:rPr>
          <w:rFonts w:ascii="Times New Roman" w:eastAsia="Times New Roman" w:hAnsi="Times New Roman" w:cs="Times New Roman"/>
        </w:rPr>
        <w:t xml:space="preserve"> lagoons</w:t>
      </w:r>
      <w:r w:rsidR="3C2C31B1" w:rsidRPr="4B07FD26">
        <w:rPr>
          <w:rFonts w:ascii="Times New Roman" w:eastAsia="Times New Roman" w:hAnsi="Times New Roman" w:cs="Times New Roman"/>
        </w:rPr>
        <w:t>) and for the protection of biodiversity over the whole area</w:t>
      </w:r>
      <w:r w:rsidR="754C7728" w:rsidRPr="4B07FD26">
        <w:rPr>
          <w:rFonts w:ascii="Times New Roman" w:eastAsia="Times New Roman" w:hAnsi="Times New Roman" w:cs="Times New Roman"/>
        </w:rPr>
        <w:t xml:space="preserve">. The WEAP model included demand </w:t>
      </w:r>
      <w:r w:rsidR="2CBBFFEE" w:rsidRPr="4B07FD26">
        <w:rPr>
          <w:rFonts w:ascii="Times New Roman" w:eastAsia="Times New Roman" w:hAnsi="Times New Roman" w:cs="Times New Roman"/>
        </w:rPr>
        <w:t xml:space="preserve">and </w:t>
      </w:r>
      <w:r w:rsidR="754C7728" w:rsidRPr="4B07FD26">
        <w:rPr>
          <w:rFonts w:ascii="Times New Roman" w:eastAsia="Times New Roman" w:hAnsi="Times New Roman" w:cs="Times New Roman"/>
        </w:rPr>
        <w:t xml:space="preserve">supply nodes and was focused </w:t>
      </w:r>
      <w:r w:rsidR="329E6430" w:rsidRPr="4B07FD26">
        <w:rPr>
          <w:rFonts w:ascii="Times New Roman" w:eastAsia="Times New Roman" w:hAnsi="Times New Roman" w:cs="Times New Roman"/>
        </w:rPr>
        <w:t xml:space="preserve">here </w:t>
      </w:r>
      <w:r w:rsidR="754C7728" w:rsidRPr="4B07FD26">
        <w:rPr>
          <w:rFonts w:ascii="Times New Roman" w:eastAsia="Times New Roman" w:hAnsi="Times New Roman" w:cs="Times New Roman"/>
        </w:rPr>
        <w:t xml:space="preserve">on the description (in a quantitative form) of the environmental water demand within the water balance of the area. </w:t>
      </w:r>
      <w:r w:rsidR="1CA106CD" w:rsidRPr="4B07FD26">
        <w:rPr>
          <w:rFonts w:ascii="Times New Roman" w:eastAsia="Times New Roman" w:hAnsi="Times New Roman" w:cs="Times New Roman"/>
          <w:color w:val="000000" w:themeColor="text1"/>
        </w:rPr>
        <w:t xml:space="preserve">Figure 3 represents the WEAP scheme of the case study: as can be seen, the diagram shows the main streams of the area whose </w:t>
      </w:r>
      <w:r w:rsidR="003072DF">
        <w:rPr>
          <w:rFonts w:ascii="Times New Roman" w:eastAsia="Times New Roman" w:hAnsi="Times New Roman" w:cs="Times New Roman"/>
          <w:color w:val="000000" w:themeColor="text1"/>
        </w:rPr>
        <w:t>discharge rates</w:t>
      </w:r>
      <w:r w:rsidR="003072DF" w:rsidRPr="4B07FD26">
        <w:rPr>
          <w:rFonts w:ascii="Times New Roman" w:eastAsia="Times New Roman" w:hAnsi="Times New Roman" w:cs="Times New Roman"/>
          <w:color w:val="000000" w:themeColor="text1"/>
        </w:rPr>
        <w:t xml:space="preserve"> </w:t>
      </w:r>
      <w:r w:rsidR="1CA106CD" w:rsidRPr="4B07FD26">
        <w:rPr>
          <w:rFonts w:ascii="Times New Roman" w:eastAsia="Times New Roman" w:hAnsi="Times New Roman" w:cs="Times New Roman"/>
          <w:color w:val="000000" w:themeColor="text1"/>
        </w:rPr>
        <w:t xml:space="preserve">were </w:t>
      </w:r>
      <w:r w:rsidR="003072DF">
        <w:rPr>
          <w:rFonts w:ascii="Times New Roman" w:eastAsia="Times New Roman" w:hAnsi="Times New Roman" w:cs="Times New Roman"/>
          <w:color w:val="000000" w:themeColor="text1"/>
        </w:rPr>
        <w:t xml:space="preserve">estimated </w:t>
      </w:r>
      <w:r w:rsidR="1CA106CD" w:rsidRPr="4B07FD26">
        <w:rPr>
          <w:rFonts w:ascii="Times New Roman" w:eastAsia="Times New Roman" w:hAnsi="Times New Roman" w:cs="Times New Roman"/>
          <w:color w:val="000000" w:themeColor="text1"/>
        </w:rPr>
        <w:t xml:space="preserve">from hydrological modelling. The demand points were not divided by municipalities but rather according to the abstractions from the five water bodies underlying the area. For supply points also, groundwater was schematized based on data provided </w:t>
      </w:r>
      <w:r w:rsidR="00212C1E">
        <w:rPr>
          <w:rFonts w:ascii="Times New Roman" w:eastAsia="Times New Roman" w:hAnsi="Times New Roman" w:cs="Times New Roman"/>
          <w:color w:val="000000" w:themeColor="text1"/>
        </w:rPr>
        <w:t>in</w:t>
      </w:r>
      <w:r w:rsidR="00212C1E" w:rsidRPr="4B07FD26">
        <w:rPr>
          <w:rFonts w:ascii="Times New Roman" w:eastAsia="Times New Roman" w:hAnsi="Times New Roman" w:cs="Times New Roman"/>
          <w:color w:val="000000" w:themeColor="text1"/>
        </w:rPr>
        <w:t xml:space="preserve"> </w:t>
      </w:r>
      <w:r w:rsidR="1CA106CD" w:rsidRPr="4B07FD26">
        <w:rPr>
          <w:rFonts w:ascii="Times New Roman" w:eastAsia="Times New Roman" w:hAnsi="Times New Roman" w:cs="Times New Roman"/>
          <w:color w:val="000000" w:themeColor="text1"/>
        </w:rPr>
        <w:t xml:space="preserve">official reports (CHG, Guadalquivir Hydrographic Confederation). From the analyses conducted through WEAP </w:t>
      </w:r>
      <w:r w:rsidR="1CA106CD" w:rsidRPr="4B07FD26">
        <w:rPr>
          <w:rFonts w:ascii="Times New Roman" w:eastAsia="Times New Roman" w:hAnsi="Times New Roman" w:cs="Times New Roman"/>
          <w:color w:val="000000" w:themeColor="text1"/>
        </w:rPr>
        <w:lastRenderedPageBreak/>
        <w:t xml:space="preserve">modelling, multiple results were obtained: first quantitative outputs useful to the PSDM </w:t>
      </w:r>
      <w:r w:rsidR="003072DF">
        <w:rPr>
          <w:rFonts w:ascii="Times New Roman" w:eastAsia="Times New Roman" w:hAnsi="Times New Roman" w:cs="Times New Roman"/>
          <w:color w:val="000000" w:themeColor="text1"/>
        </w:rPr>
        <w:t>were obtained</w:t>
      </w:r>
      <w:r w:rsidR="1CA106CD" w:rsidRPr="4B07FD26">
        <w:rPr>
          <w:rFonts w:ascii="Times New Roman" w:eastAsia="Times New Roman" w:hAnsi="Times New Roman" w:cs="Times New Roman"/>
          <w:color w:val="000000" w:themeColor="text1"/>
        </w:rPr>
        <w:t xml:space="preserve"> and</w:t>
      </w:r>
      <w:r w:rsidR="003072DF">
        <w:rPr>
          <w:rFonts w:ascii="Times New Roman" w:eastAsia="Times New Roman" w:hAnsi="Times New Roman" w:cs="Times New Roman"/>
          <w:color w:val="000000" w:themeColor="text1"/>
        </w:rPr>
        <w:t>,</w:t>
      </w:r>
      <w:r w:rsidR="1CA106CD" w:rsidRPr="4B07FD26">
        <w:rPr>
          <w:rFonts w:ascii="Times New Roman" w:eastAsia="Times New Roman" w:hAnsi="Times New Roman" w:cs="Times New Roman"/>
          <w:color w:val="000000" w:themeColor="text1"/>
        </w:rPr>
        <w:t xml:space="preserve"> on the other hand, the urgent need to quantify the environmental water requirements </w:t>
      </w:r>
      <w:r w:rsidR="003072DF">
        <w:rPr>
          <w:rFonts w:ascii="Times New Roman" w:eastAsia="Times New Roman" w:hAnsi="Times New Roman" w:cs="Times New Roman"/>
          <w:color w:val="000000" w:themeColor="text1"/>
        </w:rPr>
        <w:t>was highlighted</w:t>
      </w:r>
      <w:r w:rsidR="1CA106CD" w:rsidRPr="4B07FD26">
        <w:rPr>
          <w:rFonts w:ascii="Times New Roman" w:eastAsia="Times New Roman" w:hAnsi="Times New Roman" w:cs="Times New Roman"/>
          <w:color w:val="000000" w:themeColor="text1"/>
        </w:rPr>
        <w:t xml:space="preserve">. </w:t>
      </w:r>
      <w:r w:rsidR="003072DF">
        <w:rPr>
          <w:rFonts w:ascii="Times New Roman" w:eastAsia="Times New Roman" w:hAnsi="Times New Roman" w:cs="Times New Roman"/>
          <w:color w:val="000000" w:themeColor="text1"/>
        </w:rPr>
        <w:t>In particular, t</w:t>
      </w:r>
      <w:r w:rsidR="754C7728" w:rsidRPr="4B07FD26">
        <w:rPr>
          <w:rFonts w:ascii="Times New Roman" w:eastAsia="Times New Roman" w:hAnsi="Times New Roman" w:cs="Times New Roman"/>
        </w:rPr>
        <w:t xml:space="preserve">he water allocation modeling </w:t>
      </w:r>
      <w:r w:rsidR="08FCD05D" w:rsidRPr="4B07FD26">
        <w:rPr>
          <w:rFonts w:ascii="Times New Roman" w:eastAsia="Times New Roman" w:hAnsi="Times New Roman" w:cs="Times New Roman"/>
        </w:rPr>
        <w:t>allowed identif</w:t>
      </w:r>
      <w:r w:rsidR="00212C1E">
        <w:rPr>
          <w:rFonts w:ascii="Times New Roman" w:eastAsia="Times New Roman" w:hAnsi="Times New Roman" w:cs="Times New Roman"/>
        </w:rPr>
        <w:t>y</w:t>
      </w:r>
      <w:r w:rsidR="08FCD05D" w:rsidRPr="4B07FD26">
        <w:rPr>
          <w:rFonts w:ascii="Times New Roman" w:eastAsia="Times New Roman" w:hAnsi="Times New Roman" w:cs="Times New Roman"/>
        </w:rPr>
        <w:t xml:space="preserve">ing </w:t>
      </w:r>
      <w:r w:rsidR="754C7728" w:rsidRPr="4B07FD26">
        <w:rPr>
          <w:rFonts w:ascii="Times New Roman" w:eastAsia="Times New Roman" w:hAnsi="Times New Roman" w:cs="Times New Roman"/>
        </w:rPr>
        <w:t xml:space="preserve">the </w:t>
      </w:r>
      <w:r w:rsidR="754C7728" w:rsidRPr="4B07FD26">
        <w:rPr>
          <w:rFonts w:ascii="Times New Roman" w:eastAsia="Times New Roman" w:hAnsi="Times New Roman" w:cs="Times New Roman"/>
          <w:i/>
          <w:iCs/>
        </w:rPr>
        <w:t>unmet water demand</w:t>
      </w:r>
      <w:r w:rsidR="754C7728" w:rsidRPr="4B07FD26">
        <w:rPr>
          <w:rFonts w:ascii="Times New Roman" w:eastAsia="Times New Roman" w:hAnsi="Times New Roman" w:cs="Times New Roman"/>
        </w:rPr>
        <w:t xml:space="preserve"> of the Doñana marshland during dry and ordinary years based on the historical climate records. </w:t>
      </w:r>
      <w:r w:rsidR="619DCB8F" w:rsidRPr="4B07FD26">
        <w:rPr>
          <w:rFonts w:ascii="Times New Roman" w:eastAsia="Times New Roman" w:hAnsi="Times New Roman" w:cs="Times New Roman"/>
          <w:color w:val="000000" w:themeColor="text1"/>
        </w:rPr>
        <w:t xml:space="preserve">Figure 3 represents nodes as "Marshland Demand" and "Temporary Lagoons Demand" for which it was not possible to obtain quantitative </w:t>
      </w:r>
      <w:r w:rsidR="5238ED10" w:rsidRPr="4B07FD26">
        <w:rPr>
          <w:rFonts w:ascii="Times New Roman" w:eastAsia="Times New Roman" w:hAnsi="Times New Roman" w:cs="Times New Roman"/>
          <w:color w:val="000000" w:themeColor="text1"/>
        </w:rPr>
        <w:t xml:space="preserve">estimation </w:t>
      </w:r>
      <w:r w:rsidR="619DCB8F" w:rsidRPr="4B07FD26">
        <w:rPr>
          <w:rFonts w:ascii="Times New Roman" w:eastAsia="Times New Roman" w:hAnsi="Times New Roman" w:cs="Times New Roman"/>
          <w:color w:val="000000" w:themeColor="text1"/>
        </w:rPr>
        <w:t xml:space="preserve">that would contribute to the </w:t>
      </w:r>
      <w:r w:rsidR="60860A63" w:rsidRPr="4B07FD26">
        <w:rPr>
          <w:rFonts w:ascii="Times New Roman" w:eastAsia="Times New Roman" w:hAnsi="Times New Roman" w:cs="Times New Roman"/>
          <w:color w:val="000000" w:themeColor="text1"/>
        </w:rPr>
        <w:t>assessment of sustainability of the entire system</w:t>
      </w:r>
      <w:r w:rsidR="619DCB8F" w:rsidRPr="4B07FD26">
        <w:rPr>
          <w:rFonts w:ascii="Times New Roman" w:eastAsia="Times New Roman" w:hAnsi="Times New Roman" w:cs="Times New Roman"/>
          <w:color w:val="000000" w:themeColor="text1"/>
        </w:rPr>
        <w:t>.</w:t>
      </w:r>
      <w:r w:rsidR="001F00B3">
        <w:rPr>
          <w:rFonts w:ascii="Times New Roman" w:eastAsia="Times New Roman" w:hAnsi="Times New Roman" w:cs="Times New Roman"/>
        </w:rPr>
        <w:t xml:space="preserve"> In</w:t>
      </w:r>
      <w:r w:rsidR="001F00B3" w:rsidRPr="4B07FD26">
        <w:rPr>
          <w:rFonts w:ascii="Times New Roman" w:eastAsia="Times New Roman" w:hAnsi="Times New Roman" w:cs="Times New Roman"/>
        </w:rPr>
        <w:t xml:space="preserve"> </w:t>
      </w:r>
      <w:r w:rsidR="6216BE14" w:rsidRPr="4B07FD26">
        <w:rPr>
          <w:rFonts w:ascii="Times New Roman" w:eastAsia="Times New Roman" w:hAnsi="Times New Roman" w:cs="Times New Roman"/>
        </w:rPr>
        <w:t xml:space="preserve">this regard, the </w:t>
      </w:r>
      <w:r w:rsidR="754C7728" w:rsidRPr="4B07FD26">
        <w:rPr>
          <w:rFonts w:ascii="Times New Roman" w:eastAsia="Times New Roman" w:hAnsi="Times New Roman" w:cs="Times New Roman"/>
        </w:rPr>
        <w:t>participatory process, encompassing challenges and objectives of various stakeholders, resulted in a consensual need for developing a robust quantitative tool for the evaluation of the marshland water balance, enabling to investigate the environmental water requirements of Doñana coastal plain under different management scenarios. In this direction, we envisage the integration of the water allocation model with the PSDM (specifically, building a stock and flow model), in order to perform a ‘what-if’ scenario analysis able to consider the role of multiple drivers (e.g., climate change) and the impact of the suggested strategies.</w:t>
      </w:r>
      <w:r w:rsidR="001F00B3">
        <w:rPr>
          <w:rFonts w:ascii="Times New Roman" w:eastAsia="Times New Roman" w:hAnsi="Times New Roman" w:cs="Times New Roman"/>
        </w:rPr>
        <w:t xml:space="preserve"> </w:t>
      </w:r>
      <w:r w:rsidR="4A164C39" w:rsidRPr="4B07FD26">
        <w:rPr>
          <w:rFonts w:ascii="Times New Roman" w:eastAsia="Times New Roman" w:hAnsi="Times New Roman" w:cs="Times New Roman"/>
          <w:color w:val="000000" w:themeColor="text1"/>
        </w:rPr>
        <w:t>In these scenarios, the impact of external forces such as climate change is considered, as well as the effects of behavioral drivers derived from the workshop. Mitigation and control strategies proposed by experts and also discussed with stakeholders (Nature Based Solutions, water allocation criteria</w:t>
      </w:r>
      <w:r w:rsidR="001F00B3">
        <w:rPr>
          <w:rFonts w:ascii="Times New Roman" w:eastAsia="Times New Roman" w:hAnsi="Times New Roman" w:cs="Times New Roman"/>
          <w:color w:val="000000" w:themeColor="text1"/>
        </w:rPr>
        <w:t>,</w:t>
      </w:r>
      <w:r w:rsidR="4A164C39" w:rsidRPr="4B07FD26">
        <w:rPr>
          <w:rFonts w:ascii="Times New Roman" w:eastAsia="Times New Roman" w:hAnsi="Times New Roman" w:cs="Times New Roman"/>
          <w:color w:val="000000" w:themeColor="text1"/>
        </w:rPr>
        <w:t xml:space="preserve"> etc.) </w:t>
      </w:r>
      <w:r w:rsidR="003072DF">
        <w:rPr>
          <w:rFonts w:ascii="Times New Roman" w:eastAsia="Times New Roman" w:hAnsi="Times New Roman" w:cs="Times New Roman"/>
          <w:color w:val="000000" w:themeColor="text1"/>
        </w:rPr>
        <w:t xml:space="preserve">need to be </w:t>
      </w:r>
      <w:r w:rsidR="4A164C39" w:rsidRPr="4B07FD26">
        <w:rPr>
          <w:rFonts w:ascii="Times New Roman" w:eastAsia="Times New Roman" w:hAnsi="Times New Roman" w:cs="Times New Roman"/>
          <w:color w:val="000000" w:themeColor="text1"/>
        </w:rPr>
        <w:t>to analyze</w:t>
      </w:r>
      <w:r w:rsidR="003072DF">
        <w:rPr>
          <w:rFonts w:ascii="Times New Roman" w:eastAsia="Times New Roman" w:hAnsi="Times New Roman" w:cs="Times New Roman"/>
          <w:color w:val="000000" w:themeColor="text1"/>
        </w:rPr>
        <w:t>d</w:t>
      </w:r>
      <w:r w:rsidR="4A164C39" w:rsidRPr="4B07FD26">
        <w:rPr>
          <w:rFonts w:ascii="Times New Roman" w:eastAsia="Times New Roman" w:hAnsi="Times New Roman" w:cs="Times New Roman"/>
          <w:color w:val="000000" w:themeColor="text1"/>
        </w:rPr>
        <w:t xml:space="preserve"> both </w:t>
      </w:r>
      <w:r w:rsidR="003072DF">
        <w:rPr>
          <w:rFonts w:ascii="Times New Roman" w:eastAsia="Times New Roman" w:hAnsi="Times New Roman" w:cs="Times New Roman"/>
          <w:color w:val="000000" w:themeColor="text1"/>
        </w:rPr>
        <w:t>o</w:t>
      </w:r>
      <w:r w:rsidR="003072DF" w:rsidRPr="4B07FD26">
        <w:rPr>
          <w:rFonts w:ascii="Times New Roman" w:eastAsia="Times New Roman" w:hAnsi="Times New Roman" w:cs="Times New Roman"/>
          <w:color w:val="000000" w:themeColor="text1"/>
        </w:rPr>
        <w:t xml:space="preserve">n </w:t>
      </w:r>
      <w:r w:rsidR="4A164C39" w:rsidRPr="4B07FD26">
        <w:rPr>
          <w:rFonts w:ascii="Times New Roman" w:eastAsia="Times New Roman" w:hAnsi="Times New Roman" w:cs="Times New Roman"/>
          <w:color w:val="000000" w:themeColor="text1"/>
        </w:rPr>
        <w:t xml:space="preserve">the technical field and </w:t>
      </w:r>
      <w:r w:rsidR="003072DF">
        <w:rPr>
          <w:rFonts w:ascii="Times New Roman" w:eastAsia="Times New Roman" w:hAnsi="Times New Roman" w:cs="Times New Roman"/>
          <w:color w:val="000000" w:themeColor="text1"/>
        </w:rPr>
        <w:t xml:space="preserve">the </w:t>
      </w:r>
      <w:r w:rsidR="4A164C39" w:rsidRPr="4B07FD26">
        <w:rPr>
          <w:rFonts w:ascii="Times New Roman" w:eastAsia="Times New Roman" w:hAnsi="Times New Roman" w:cs="Times New Roman"/>
          <w:color w:val="000000" w:themeColor="text1"/>
        </w:rPr>
        <w:t xml:space="preserve">participatory one </w:t>
      </w:r>
      <w:r w:rsidR="003072DF">
        <w:rPr>
          <w:rFonts w:ascii="Times New Roman" w:eastAsia="Times New Roman" w:hAnsi="Times New Roman" w:cs="Times New Roman"/>
          <w:color w:val="000000" w:themeColor="text1"/>
        </w:rPr>
        <w:t xml:space="preserve">in order to become </w:t>
      </w:r>
      <w:r w:rsidR="4A164C39" w:rsidRPr="4B07FD26">
        <w:rPr>
          <w:rFonts w:ascii="Times New Roman" w:eastAsia="Times New Roman" w:hAnsi="Times New Roman" w:cs="Times New Roman"/>
          <w:color w:val="000000" w:themeColor="text1"/>
        </w:rPr>
        <w:t xml:space="preserve">a basis for the subsequent implementation of policies for the territory. The stage of scenarios’ realization described above constitutes a step after the basic knowledge of the Nexus processes, obtained as a result of the </w:t>
      </w:r>
      <w:r w:rsidR="003072DF" w:rsidRPr="4B07FD26">
        <w:rPr>
          <w:rFonts w:ascii="Times New Roman" w:eastAsia="Times New Roman" w:hAnsi="Times New Roman" w:cs="Times New Roman"/>
          <w:color w:val="000000" w:themeColor="text1"/>
        </w:rPr>
        <w:t>described</w:t>
      </w:r>
      <w:r w:rsidR="003072DF" w:rsidRPr="4B07FD26">
        <w:rPr>
          <w:rFonts w:ascii="Times New Roman" w:eastAsia="Times New Roman" w:hAnsi="Times New Roman" w:cs="Times New Roman"/>
          <w:color w:val="000000" w:themeColor="text1"/>
        </w:rPr>
        <w:t xml:space="preserve"> </w:t>
      </w:r>
      <w:r w:rsidR="4A164C39" w:rsidRPr="4B07FD26">
        <w:rPr>
          <w:rFonts w:ascii="Times New Roman" w:eastAsia="Times New Roman" w:hAnsi="Times New Roman" w:cs="Times New Roman"/>
          <w:color w:val="000000" w:themeColor="text1"/>
        </w:rPr>
        <w:t>models; in turn, however, can be also an input for new, more advanced participatory analyses.</w:t>
      </w:r>
    </w:p>
    <w:p w14:paraId="128E7595" w14:textId="1B035648" w:rsidR="0028799E" w:rsidRDefault="002B7BBB" w:rsidP="4B07FD26">
      <w:pPr>
        <w:spacing w:before="120" w:after="0"/>
        <w:jc w:val="both"/>
        <w:rPr>
          <w:rFonts w:ascii="Times New Roman" w:eastAsia="Times New Roman" w:hAnsi="Times New Roman" w:cs="Times New Roman"/>
          <w:color w:val="000000" w:themeColor="text1"/>
        </w:rPr>
      </w:pPr>
      <w:r w:rsidRPr="0028799E">
        <w:rPr>
          <w:rFonts w:ascii="Aptos" w:eastAsia="Times New Roman" w:hAnsi="Aptos" w:cs="Times New Roman"/>
          <w:noProof/>
          <w:kern w:val="2"/>
          <w:sz w:val="24"/>
          <w:szCs w:val="24"/>
          <w:lang w:val="it-IT" w:eastAsia="it-IT"/>
          <w14:ligatures w14:val="standardContextual"/>
        </w:rPr>
        <w:drawing>
          <wp:anchor distT="0" distB="0" distL="114300" distR="114300" simplePos="0" relativeHeight="251664384" behindDoc="0" locked="0" layoutInCell="1" allowOverlap="1" wp14:anchorId="7490559D" wp14:editId="446B3841">
            <wp:simplePos x="0" y="0"/>
            <wp:positionH relativeFrom="margin">
              <wp:align>left</wp:align>
            </wp:positionH>
            <wp:positionV relativeFrom="paragraph">
              <wp:posOffset>142875</wp:posOffset>
            </wp:positionV>
            <wp:extent cx="6092190" cy="4101968"/>
            <wp:effectExtent l="19050" t="19050" r="22860" b="13335"/>
            <wp:wrapNone/>
            <wp:docPr id="890494382" name="Immagine 89049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2190" cy="4101968"/>
                    </a:xfrm>
                    <a:prstGeom prst="rect">
                      <a:avLst/>
                    </a:prstGeom>
                    <a:ln w="6350">
                      <a:solidFill>
                        <a:sysClr val="windowText" lastClr="000000"/>
                      </a:solidFill>
                      <a:prstDash val="solid"/>
                    </a:ln>
                  </pic:spPr>
                </pic:pic>
              </a:graphicData>
            </a:graphic>
            <wp14:sizeRelH relativeFrom="margin">
              <wp14:pctWidth>0</wp14:pctWidth>
            </wp14:sizeRelH>
            <wp14:sizeRelV relativeFrom="margin">
              <wp14:pctHeight>0</wp14:pctHeight>
            </wp14:sizeRelV>
          </wp:anchor>
        </w:drawing>
      </w:r>
    </w:p>
    <w:p w14:paraId="34610034" w14:textId="7E082F16" w:rsidR="0028799E" w:rsidRDefault="0028799E" w:rsidP="4B07FD26">
      <w:pPr>
        <w:spacing w:before="120" w:after="0"/>
        <w:jc w:val="both"/>
        <w:rPr>
          <w:rFonts w:ascii="Times New Roman" w:eastAsia="Times New Roman" w:hAnsi="Times New Roman" w:cs="Times New Roman"/>
          <w:color w:val="000000" w:themeColor="text1"/>
        </w:rPr>
      </w:pPr>
    </w:p>
    <w:p w14:paraId="62CC2AA9" w14:textId="332FEB74" w:rsidR="003D0180" w:rsidRDefault="003D0180" w:rsidP="4B07FD26">
      <w:pPr>
        <w:spacing w:before="120" w:after="0" w:line="240" w:lineRule="auto"/>
        <w:jc w:val="both"/>
        <w:rPr>
          <w:rFonts w:ascii="Times New Roman" w:eastAsia="Times New Roman" w:hAnsi="Times New Roman" w:cs="Times New Roman"/>
          <w:color w:val="000000" w:themeColor="text1"/>
        </w:rPr>
      </w:pPr>
    </w:p>
    <w:p w14:paraId="569EBA0F" w14:textId="57289EFC" w:rsidR="003D0180" w:rsidRDefault="003D0180" w:rsidP="4B07FD26">
      <w:pPr>
        <w:spacing w:before="120" w:after="0" w:line="240" w:lineRule="auto"/>
        <w:jc w:val="both"/>
        <w:rPr>
          <w:rFonts w:ascii="Times New Roman" w:eastAsia="Times New Roman" w:hAnsi="Times New Roman" w:cs="Times New Roman"/>
          <w:color w:val="000000" w:themeColor="text1"/>
        </w:rPr>
      </w:pPr>
    </w:p>
    <w:p w14:paraId="0FB78278" w14:textId="471807D4" w:rsidR="003D0180" w:rsidRDefault="003D0180" w:rsidP="4B07FD26">
      <w:pPr>
        <w:pBdr>
          <w:top w:val="nil"/>
          <w:left w:val="nil"/>
          <w:bottom w:val="nil"/>
          <w:right w:val="nil"/>
          <w:between w:val="nil"/>
        </w:pBdr>
        <w:spacing w:before="120" w:after="0" w:line="240" w:lineRule="auto"/>
        <w:jc w:val="both"/>
      </w:pPr>
    </w:p>
    <w:p w14:paraId="4CB5F05A" w14:textId="574839E2"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040412CC"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7C458E10" w14:textId="044DA2B1"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301E4CA6"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605A2A1C" w14:textId="6309815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2ED541B9"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7F5BE7BC"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53D33C15"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09E7C5B6"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1CD41A5E"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7AACDA5A"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5A35902C" w14:textId="7FEBB68E"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1040670B"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1321D253"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10CDAB96" w14:textId="58221DFF"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2D5C1CE4"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6AB09B8F" w14:textId="458D81FD"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23120682" w14:textId="77777777" w:rsidR="0028799E" w:rsidRDefault="0028799E">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5FF0A8F9" w14:textId="77777777" w:rsidR="000321A8" w:rsidRDefault="000321A8">
      <w:pPr>
        <w:pBdr>
          <w:top w:val="nil"/>
          <w:left w:val="nil"/>
          <w:bottom w:val="nil"/>
          <w:right w:val="nil"/>
          <w:between w:val="nil"/>
        </w:pBdr>
        <w:spacing w:before="60" w:after="0" w:line="240" w:lineRule="auto"/>
        <w:jc w:val="center"/>
        <w:rPr>
          <w:rFonts w:ascii="Times New Roman" w:eastAsia="Times New Roman" w:hAnsi="Times New Roman" w:cs="Times New Roman"/>
          <w:b/>
          <w:color w:val="000000"/>
          <w:sz w:val="17"/>
          <w:szCs w:val="17"/>
        </w:rPr>
      </w:pPr>
    </w:p>
    <w:p w14:paraId="4B94CA19" w14:textId="1D7A5E06" w:rsidR="003D0180" w:rsidRDefault="00332222">
      <w:pPr>
        <w:pBdr>
          <w:top w:val="nil"/>
          <w:left w:val="nil"/>
          <w:bottom w:val="nil"/>
          <w:right w:val="nil"/>
          <w:between w:val="nil"/>
        </w:pBdr>
        <w:spacing w:before="60"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b/>
          <w:color w:val="000000"/>
          <w:sz w:val="17"/>
          <w:szCs w:val="17"/>
        </w:rPr>
        <w:t xml:space="preserve">Fig. 3. </w:t>
      </w:r>
      <w:r>
        <w:rPr>
          <w:rFonts w:ascii="Times New Roman" w:eastAsia="Times New Roman" w:hAnsi="Times New Roman" w:cs="Times New Roman"/>
          <w:color w:val="000000"/>
          <w:sz w:val="17"/>
          <w:szCs w:val="17"/>
        </w:rPr>
        <w:t>The WEAP scheme of Doñana 's case study.</w:t>
      </w:r>
    </w:p>
    <w:p w14:paraId="1FC39945" w14:textId="09799AB8" w:rsidR="003D0180" w:rsidRDefault="003D0180">
      <w:p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p>
    <w:p w14:paraId="36704A0D" w14:textId="59C84B42" w:rsidR="003D0180" w:rsidRDefault="00332222">
      <w:pPr>
        <w:numPr>
          <w:ilvl w:val="0"/>
          <w:numId w:val="1"/>
        </w:numPr>
        <w:pBdr>
          <w:top w:val="nil"/>
          <w:left w:val="nil"/>
          <w:bottom w:val="nil"/>
          <w:right w:val="nil"/>
          <w:between w:val="nil"/>
        </w:pBdr>
        <w:tabs>
          <w:tab w:val="left" w:pos="567"/>
          <w:tab w:val="left" w:pos="1843"/>
        </w:tabs>
        <w:spacing w:before="120" w:after="0" w:line="240" w:lineRule="auto"/>
        <w:jc w:val="both"/>
      </w:pPr>
      <w:r>
        <w:rPr>
          <w:rFonts w:ascii="Times New Roman" w:eastAsia="Times New Roman" w:hAnsi="Times New Roman" w:cs="Times New Roman"/>
          <w:b/>
          <w:color w:val="000000"/>
        </w:rPr>
        <w:t>Results</w:t>
      </w:r>
    </w:p>
    <w:p w14:paraId="5850A467" w14:textId="41AD881D" w:rsidR="00332222" w:rsidRDefault="00332222" w:rsidP="000321A8">
      <w:pPr>
        <w:pStyle w:val="IAHRtext"/>
      </w:pPr>
      <w:r w:rsidRPr="4B07FD26">
        <w:t xml:space="preserve">This section describes the main results obtained </w:t>
      </w:r>
      <w:r w:rsidR="034C3071" w:rsidRPr="4B07FD26">
        <w:t xml:space="preserve">so far </w:t>
      </w:r>
      <w:r w:rsidRPr="4B07FD26">
        <w:t xml:space="preserve">through the </w:t>
      </w:r>
      <w:r w:rsidR="3F2DB658" w:rsidRPr="4B07FD26">
        <w:t>mode</w:t>
      </w:r>
      <w:r w:rsidR="001F00B3">
        <w:t>l</w:t>
      </w:r>
      <w:r w:rsidR="3F2DB658" w:rsidRPr="4B07FD26">
        <w:t xml:space="preserve">ling approach presented </w:t>
      </w:r>
      <w:r w:rsidRPr="4B07FD26">
        <w:t xml:space="preserve">above with the main strength points and limitations. In particular, being the dynamic participatory process </w:t>
      </w:r>
      <w:r w:rsidR="001F00B3">
        <w:t xml:space="preserve">is </w:t>
      </w:r>
      <w:r w:rsidRPr="4B07FD26">
        <w:t xml:space="preserve">still ongoing, we will discuss the outputs </w:t>
      </w:r>
      <w:r w:rsidR="63E75107" w:rsidRPr="4B07FD26">
        <w:t xml:space="preserve">limitedly </w:t>
      </w:r>
      <w:r w:rsidRPr="4B07FD26">
        <w:t>to WEAP allocation and account model</w:t>
      </w:r>
      <w:r w:rsidR="001F00B3">
        <w:t>l</w:t>
      </w:r>
      <w:r w:rsidRPr="4B07FD26">
        <w:t xml:space="preserve">ing. </w:t>
      </w:r>
      <w:r w:rsidR="505E93FF" w:rsidRPr="4B07FD26">
        <w:t xml:space="preserve">As far as concerns </w:t>
      </w:r>
      <w:r w:rsidRPr="4B07FD26">
        <w:t xml:space="preserve">aquifer exploitation, one of the main causes of water conflict in the area, </w:t>
      </w:r>
      <w:r w:rsidR="1D1625B0" w:rsidRPr="4B07FD26">
        <w:t xml:space="preserve">the analysis </w:t>
      </w:r>
      <w:r w:rsidR="3EC4E6FD" w:rsidRPr="4B07FD26">
        <w:t>focused</w:t>
      </w:r>
      <w:r w:rsidR="659AB838" w:rsidRPr="4B07FD26">
        <w:t xml:space="preserve"> </w:t>
      </w:r>
      <w:r w:rsidR="3EF8F592" w:rsidRPr="4B07FD26">
        <w:t>o</w:t>
      </w:r>
      <w:r w:rsidRPr="4B07FD26">
        <w:t xml:space="preserve">n groundwater nodes and the </w:t>
      </w:r>
      <w:r w:rsidR="5476E329" w:rsidRPr="4B07FD26">
        <w:t xml:space="preserve">related </w:t>
      </w:r>
      <w:r w:rsidRPr="4B07FD26">
        <w:t xml:space="preserve">demand nodes. Assuming constant water demand over time, and thus without proposing </w:t>
      </w:r>
      <w:r w:rsidRPr="4B07FD26">
        <w:lastRenderedPageBreak/>
        <w:t xml:space="preserve">mitigation </w:t>
      </w:r>
      <w:r w:rsidR="3F193C2A" w:rsidRPr="4B07FD26">
        <w:t>measures</w:t>
      </w:r>
      <w:r w:rsidRPr="4B07FD26">
        <w:t xml:space="preserve">, the </w:t>
      </w:r>
      <w:r w:rsidR="08BFCC09" w:rsidRPr="4B07FD26">
        <w:t xml:space="preserve">impact </w:t>
      </w:r>
      <w:r w:rsidRPr="4B07FD26">
        <w:t xml:space="preserve">of </w:t>
      </w:r>
      <w:r w:rsidR="1D26D3BB" w:rsidRPr="4B07FD26">
        <w:t xml:space="preserve">climate change on </w:t>
      </w:r>
      <w:r w:rsidRPr="4B07FD26">
        <w:t xml:space="preserve">groundwater storage is </w:t>
      </w:r>
      <w:r w:rsidR="4C568FA1" w:rsidRPr="4B07FD26">
        <w:t>evaluat</w:t>
      </w:r>
      <w:r w:rsidR="7620E909" w:rsidRPr="4B07FD26">
        <w:t>ed</w:t>
      </w:r>
      <w:r w:rsidRPr="4B07FD26">
        <w:t xml:space="preserve">. </w:t>
      </w:r>
      <w:r w:rsidR="00F9EE67" w:rsidRPr="4B07FD26">
        <w:t xml:space="preserve">Figure 4 shows </w:t>
      </w:r>
      <w:r w:rsidR="041EE567" w:rsidRPr="4B07FD26">
        <w:t xml:space="preserve">the </w:t>
      </w:r>
      <w:r w:rsidR="00F9EE67" w:rsidRPr="4B07FD26">
        <w:t xml:space="preserve">variability of groundwater storage for 3 of the main </w:t>
      </w:r>
      <w:r w:rsidR="3DE598BC" w:rsidRPr="4B07FD26">
        <w:t xml:space="preserve">aquifer systems in the study area under present </w:t>
      </w:r>
      <w:r w:rsidR="2C79423F" w:rsidRPr="4B07FD26">
        <w:t xml:space="preserve">(historical data from 2015 to 2018) </w:t>
      </w:r>
      <w:r w:rsidR="3DE598BC" w:rsidRPr="4B07FD26">
        <w:t>a</w:t>
      </w:r>
      <w:r w:rsidR="627E5D33" w:rsidRPr="4B07FD26">
        <w:t>nd future climate scenarios (</w:t>
      </w:r>
      <w:r w:rsidRPr="4B07FD26">
        <w:t xml:space="preserve">RCP4.5 and RCP8.5 climate scenario, </w:t>
      </w:r>
      <w:r w:rsidR="5ADFC6DC" w:rsidRPr="4B07FD26">
        <w:t>time slice 2022-2100), highlighting no trend for La Rocina aquifer, incre</w:t>
      </w:r>
      <w:r w:rsidR="4E129A14" w:rsidRPr="4B07FD26">
        <w:t>a</w:t>
      </w:r>
      <w:r w:rsidR="5ADFC6DC" w:rsidRPr="4B07FD26">
        <w:t xml:space="preserve">sing variability </w:t>
      </w:r>
      <w:r w:rsidR="596E0DAF" w:rsidRPr="4B07FD26">
        <w:t xml:space="preserve">for Almonte, </w:t>
      </w:r>
      <w:r w:rsidR="6A61DEA2" w:rsidRPr="4B07FD26">
        <w:t xml:space="preserve">and decreasing storage for the more critical Marismas aquifer. </w:t>
      </w:r>
    </w:p>
    <w:p w14:paraId="2F9DFD88" w14:textId="5031D676"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34CE0A41" w14:textId="6841A1BA" w:rsidR="003D0180" w:rsidRDefault="002B7BBB">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r>
        <w:rPr>
          <w:rFonts w:ascii="Times New Roman" w:eastAsia="Times New Roman" w:hAnsi="Times New Roman" w:cs="Times New Roman"/>
          <w:noProof/>
        </w:rPr>
        <w:drawing>
          <wp:anchor distT="0" distB="0" distL="114300" distR="114300" simplePos="0" relativeHeight="251659264" behindDoc="0" locked="0" layoutInCell="1" hidden="0" allowOverlap="1" wp14:anchorId="7CF01F33" wp14:editId="38E63C68">
            <wp:simplePos x="0" y="0"/>
            <wp:positionH relativeFrom="margin">
              <wp:align>right</wp:align>
            </wp:positionH>
            <wp:positionV relativeFrom="paragraph">
              <wp:posOffset>156210</wp:posOffset>
            </wp:positionV>
            <wp:extent cx="3009900" cy="1805940"/>
            <wp:effectExtent l="0" t="0" r="0" b="3810"/>
            <wp:wrapNone/>
            <wp:docPr id="17388417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3009900" cy="1805940"/>
                    </a:xfrm>
                    <a:prstGeom prst="rect">
                      <a:avLst/>
                    </a:prstGeom>
                    <a:ln/>
                  </pic:spPr>
                </pic:pic>
              </a:graphicData>
            </a:graphic>
          </wp:anchor>
        </w:drawing>
      </w:r>
      <w:r>
        <w:rPr>
          <w:rFonts w:ascii="Times New Roman" w:eastAsia="Times New Roman" w:hAnsi="Times New Roman" w:cs="Times New Roman"/>
          <w:noProof/>
        </w:rPr>
        <w:drawing>
          <wp:anchor distT="0" distB="0" distL="114300" distR="114300" simplePos="0" relativeHeight="251660288" behindDoc="0" locked="0" layoutInCell="1" hidden="0" allowOverlap="1" wp14:anchorId="4067E1B2" wp14:editId="1EFE45F9">
            <wp:simplePos x="0" y="0"/>
            <wp:positionH relativeFrom="margin">
              <wp:align>left</wp:align>
            </wp:positionH>
            <wp:positionV relativeFrom="paragraph">
              <wp:posOffset>157480</wp:posOffset>
            </wp:positionV>
            <wp:extent cx="2994025" cy="1805940"/>
            <wp:effectExtent l="0" t="0" r="0" b="3810"/>
            <wp:wrapNone/>
            <wp:docPr id="1738841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994025" cy="1805940"/>
                    </a:xfrm>
                    <a:prstGeom prst="rect">
                      <a:avLst/>
                    </a:prstGeom>
                    <a:ln/>
                  </pic:spPr>
                </pic:pic>
              </a:graphicData>
            </a:graphic>
          </wp:anchor>
        </w:drawing>
      </w:r>
    </w:p>
    <w:p w14:paraId="62EBF3C5" w14:textId="318C23AE"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D98A12B" w14:textId="301F7648"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2946DB82" w14:textId="0C7E308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5997CC1D" w14:textId="065EBDD1"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110FFD37" w14:textId="0C7B18CE"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B699379" w14:textId="66CB2F32"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305633A0" w14:textId="7A190804"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3FE9F23F" w14:textId="77784D8D"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1F72F646" w14:textId="5D4405BE" w:rsidR="003D0180" w:rsidRDefault="002B7BBB">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r>
        <w:rPr>
          <w:rFonts w:ascii="Times New Roman" w:eastAsia="Times New Roman" w:hAnsi="Times New Roman" w:cs="Times New Roman"/>
          <w:noProof/>
        </w:rPr>
        <w:drawing>
          <wp:anchor distT="0" distB="0" distL="114300" distR="114300" simplePos="0" relativeHeight="251661312" behindDoc="0" locked="0" layoutInCell="1" hidden="0" allowOverlap="1" wp14:anchorId="04ED6DEB" wp14:editId="446BF6B6">
            <wp:simplePos x="0" y="0"/>
            <wp:positionH relativeFrom="margin">
              <wp:align>center</wp:align>
            </wp:positionH>
            <wp:positionV relativeFrom="paragraph">
              <wp:posOffset>78105</wp:posOffset>
            </wp:positionV>
            <wp:extent cx="2971800" cy="1784985"/>
            <wp:effectExtent l="0" t="0" r="0" b="5715"/>
            <wp:wrapNone/>
            <wp:docPr id="17388417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971800" cy="1784985"/>
                    </a:xfrm>
                    <a:prstGeom prst="rect">
                      <a:avLst/>
                    </a:prstGeom>
                    <a:ln/>
                  </pic:spPr>
                </pic:pic>
              </a:graphicData>
            </a:graphic>
          </wp:anchor>
        </w:drawing>
      </w:r>
    </w:p>
    <w:p w14:paraId="08CE6F91" w14:textId="39E354A2"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1CDCEAD"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6BB9E253"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23DE523C"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52E56223"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3F1D48FA" w14:textId="77777777" w:rsidR="002B7BBB" w:rsidRDefault="002B7BBB" w:rsidP="000321A8">
      <w:pPr>
        <w:pBdr>
          <w:top w:val="nil"/>
          <w:left w:val="nil"/>
          <w:bottom w:val="nil"/>
          <w:right w:val="nil"/>
          <w:between w:val="nil"/>
        </w:pBdr>
        <w:spacing w:before="60" w:after="0" w:line="240" w:lineRule="auto"/>
        <w:jc w:val="center"/>
        <w:rPr>
          <w:rFonts w:ascii="Times New Roman" w:eastAsia="Times New Roman" w:hAnsi="Times New Roman" w:cs="Times New Roman"/>
          <w:b/>
          <w:bCs/>
          <w:color w:val="000000" w:themeColor="text1"/>
          <w:sz w:val="17"/>
          <w:szCs w:val="17"/>
        </w:rPr>
      </w:pPr>
    </w:p>
    <w:p w14:paraId="2BA4D363" w14:textId="77777777" w:rsidR="002B7BBB" w:rsidRDefault="002B7BBB" w:rsidP="000321A8">
      <w:pPr>
        <w:pBdr>
          <w:top w:val="nil"/>
          <w:left w:val="nil"/>
          <w:bottom w:val="nil"/>
          <w:right w:val="nil"/>
          <w:between w:val="nil"/>
        </w:pBdr>
        <w:spacing w:before="60" w:after="0" w:line="240" w:lineRule="auto"/>
        <w:jc w:val="center"/>
        <w:rPr>
          <w:rFonts w:ascii="Times New Roman" w:eastAsia="Times New Roman" w:hAnsi="Times New Roman" w:cs="Times New Roman"/>
          <w:b/>
          <w:bCs/>
          <w:color w:val="000000" w:themeColor="text1"/>
          <w:sz w:val="17"/>
          <w:szCs w:val="17"/>
        </w:rPr>
      </w:pPr>
    </w:p>
    <w:p w14:paraId="75DB005A" w14:textId="77777777" w:rsidR="002B7BBB" w:rsidRDefault="002B7BBB" w:rsidP="000321A8">
      <w:pPr>
        <w:pBdr>
          <w:top w:val="nil"/>
          <w:left w:val="nil"/>
          <w:bottom w:val="nil"/>
          <w:right w:val="nil"/>
          <w:between w:val="nil"/>
        </w:pBdr>
        <w:spacing w:before="60" w:after="0" w:line="240" w:lineRule="auto"/>
        <w:jc w:val="center"/>
        <w:rPr>
          <w:rFonts w:ascii="Times New Roman" w:eastAsia="Times New Roman" w:hAnsi="Times New Roman" w:cs="Times New Roman"/>
          <w:b/>
          <w:bCs/>
          <w:color w:val="000000" w:themeColor="text1"/>
          <w:sz w:val="17"/>
          <w:szCs w:val="17"/>
        </w:rPr>
      </w:pPr>
    </w:p>
    <w:p w14:paraId="2E7FD642" w14:textId="77777777" w:rsidR="002B7BBB" w:rsidRDefault="002B7BBB" w:rsidP="000321A8">
      <w:pPr>
        <w:pBdr>
          <w:top w:val="nil"/>
          <w:left w:val="nil"/>
          <w:bottom w:val="nil"/>
          <w:right w:val="nil"/>
          <w:between w:val="nil"/>
        </w:pBdr>
        <w:spacing w:before="60" w:after="0" w:line="240" w:lineRule="auto"/>
        <w:jc w:val="center"/>
        <w:rPr>
          <w:rFonts w:ascii="Times New Roman" w:eastAsia="Times New Roman" w:hAnsi="Times New Roman" w:cs="Times New Roman"/>
          <w:b/>
          <w:bCs/>
          <w:color w:val="000000" w:themeColor="text1"/>
          <w:sz w:val="17"/>
          <w:szCs w:val="17"/>
        </w:rPr>
      </w:pPr>
    </w:p>
    <w:p w14:paraId="1B1C797A" w14:textId="02526881" w:rsidR="003D0180" w:rsidRDefault="00332222" w:rsidP="000321A8">
      <w:pPr>
        <w:pBdr>
          <w:top w:val="nil"/>
          <w:left w:val="nil"/>
          <w:bottom w:val="nil"/>
          <w:right w:val="nil"/>
          <w:between w:val="nil"/>
        </w:pBdr>
        <w:spacing w:before="60" w:after="0" w:line="240" w:lineRule="auto"/>
        <w:jc w:val="center"/>
        <w:rPr>
          <w:rFonts w:ascii="Times New Roman" w:eastAsia="Times New Roman" w:hAnsi="Times New Roman" w:cs="Times New Roman"/>
          <w:color w:val="000000"/>
          <w:sz w:val="17"/>
          <w:szCs w:val="17"/>
        </w:rPr>
      </w:pPr>
      <w:r w:rsidRPr="4B07FD26">
        <w:rPr>
          <w:rFonts w:ascii="Times New Roman" w:eastAsia="Times New Roman" w:hAnsi="Times New Roman" w:cs="Times New Roman"/>
          <w:b/>
          <w:bCs/>
          <w:color w:val="000000" w:themeColor="text1"/>
          <w:sz w:val="17"/>
          <w:szCs w:val="17"/>
        </w:rPr>
        <w:t xml:space="preserve">Fig. </w:t>
      </w:r>
      <w:r w:rsidR="2701DAF3" w:rsidRPr="4B07FD26">
        <w:rPr>
          <w:rFonts w:ascii="Times New Roman" w:eastAsia="Times New Roman" w:hAnsi="Times New Roman" w:cs="Times New Roman"/>
          <w:b/>
          <w:bCs/>
          <w:color w:val="000000" w:themeColor="text1"/>
          <w:sz w:val="17"/>
          <w:szCs w:val="17"/>
        </w:rPr>
        <w:t>4</w:t>
      </w:r>
      <w:r w:rsidRPr="4B07FD26">
        <w:rPr>
          <w:rFonts w:ascii="Times New Roman" w:eastAsia="Times New Roman" w:hAnsi="Times New Roman" w:cs="Times New Roman"/>
          <w:b/>
          <w:bCs/>
          <w:color w:val="000000" w:themeColor="text1"/>
          <w:sz w:val="17"/>
          <w:szCs w:val="17"/>
        </w:rPr>
        <w:t xml:space="preserve">. </w:t>
      </w:r>
      <w:r w:rsidR="382AAAE3" w:rsidRPr="00574D33">
        <w:rPr>
          <w:rFonts w:ascii="Times New Roman" w:eastAsia="Times New Roman" w:hAnsi="Times New Roman" w:cs="Times New Roman"/>
          <w:color w:val="000000" w:themeColor="text1"/>
          <w:sz w:val="17"/>
          <w:szCs w:val="17"/>
        </w:rPr>
        <w:t xml:space="preserve">Analysis of groundwater storage scenarios </w:t>
      </w:r>
      <w:r w:rsidR="6D041D08" w:rsidRPr="00574D33">
        <w:rPr>
          <w:rFonts w:ascii="Times New Roman" w:eastAsia="Times New Roman" w:hAnsi="Times New Roman" w:cs="Times New Roman"/>
          <w:color w:val="000000" w:themeColor="text1"/>
          <w:sz w:val="17"/>
          <w:szCs w:val="17"/>
        </w:rPr>
        <w:t>under the current exploitation regime for the RCP 4.5 and RCP 8.5</w:t>
      </w:r>
      <w:r w:rsidR="15CD428B" w:rsidRPr="00574D33">
        <w:rPr>
          <w:rFonts w:ascii="Times New Roman" w:eastAsia="Times New Roman" w:hAnsi="Times New Roman" w:cs="Times New Roman"/>
          <w:color w:val="000000" w:themeColor="text1"/>
          <w:sz w:val="17"/>
          <w:szCs w:val="17"/>
        </w:rPr>
        <w:t xml:space="preserve"> and reference climate (ref)</w:t>
      </w:r>
      <w:r w:rsidRPr="001F00B3">
        <w:rPr>
          <w:rFonts w:ascii="Times New Roman" w:eastAsia="Times New Roman" w:hAnsi="Times New Roman" w:cs="Times New Roman"/>
          <w:color w:val="000000" w:themeColor="text1"/>
          <w:sz w:val="17"/>
          <w:szCs w:val="17"/>
        </w:rPr>
        <w:t>.</w:t>
      </w:r>
    </w:p>
    <w:p w14:paraId="5043CB0F" w14:textId="77777777" w:rsidR="003D0180" w:rsidRDefault="003D0180" w:rsidP="000321A8">
      <w:pPr>
        <w:pStyle w:val="IAHRtext"/>
      </w:pPr>
    </w:p>
    <w:p w14:paraId="3AB9EB86" w14:textId="1B86307A" w:rsidR="003D0180" w:rsidRDefault="00332222" w:rsidP="000321A8">
      <w:pPr>
        <w:pStyle w:val="IAHRtext"/>
        <w:rPr>
          <w:color w:val="000000" w:themeColor="text1"/>
        </w:rPr>
      </w:pPr>
      <w:r w:rsidRPr="4B07FD26">
        <w:rPr>
          <w:color w:val="000000" w:themeColor="text1"/>
        </w:rPr>
        <w:t>These results are indicative of the useful</w:t>
      </w:r>
      <w:r w:rsidR="06C63C8F" w:rsidRPr="4B07FD26">
        <w:rPr>
          <w:color w:val="000000" w:themeColor="text1"/>
        </w:rPr>
        <w:t>nes</w:t>
      </w:r>
      <w:r w:rsidR="001F00B3">
        <w:rPr>
          <w:color w:val="000000" w:themeColor="text1"/>
        </w:rPr>
        <w:t>s</w:t>
      </w:r>
      <w:r w:rsidRPr="4B07FD26">
        <w:rPr>
          <w:color w:val="000000" w:themeColor="text1"/>
        </w:rPr>
        <w:t xml:space="preserve"> </w:t>
      </w:r>
      <w:r w:rsidR="7B1F35A2" w:rsidRPr="4B07FD26">
        <w:rPr>
          <w:color w:val="000000" w:themeColor="text1"/>
        </w:rPr>
        <w:t xml:space="preserve">of </w:t>
      </w:r>
      <w:r w:rsidRPr="4B07FD26">
        <w:rPr>
          <w:color w:val="000000" w:themeColor="text1"/>
        </w:rPr>
        <w:t xml:space="preserve">the relationship between supply and demand over time, in conditions of climate change and then on the mitigation strategies to be adopted in </w:t>
      </w:r>
      <w:r w:rsidR="6BE5A9F1" w:rsidRPr="4B07FD26">
        <w:rPr>
          <w:color w:val="000000" w:themeColor="text1"/>
        </w:rPr>
        <w:t>some of these aquifers</w:t>
      </w:r>
      <w:r w:rsidRPr="4B07FD26">
        <w:rPr>
          <w:color w:val="000000" w:themeColor="text1"/>
        </w:rPr>
        <w:t xml:space="preserve">. The quantitative outputs of </w:t>
      </w:r>
      <w:r w:rsidR="003072DF">
        <w:rPr>
          <w:color w:val="000000" w:themeColor="text1"/>
        </w:rPr>
        <w:t xml:space="preserve">the </w:t>
      </w:r>
      <w:r w:rsidRPr="4B07FD26">
        <w:rPr>
          <w:color w:val="000000" w:themeColor="text1"/>
        </w:rPr>
        <w:t xml:space="preserve">WEAP modelling can allow to calculate </w:t>
      </w:r>
      <w:r w:rsidR="35E08EFD" w:rsidRPr="4B07FD26">
        <w:rPr>
          <w:color w:val="000000" w:themeColor="text1"/>
        </w:rPr>
        <w:t>relevant</w:t>
      </w:r>
      <w:r w:rsidRPr="4B07FD26">
        <w:rPr>
          <w:color w:val="000000" w:themeColor="text1"/>
        </w:rPr>
        <w:t xml:space="preserve"> indicators</w:t>
      </w:r>
      <w:r w:rsidR="4212E670" w:rsidRPr="4B07FD26">
        <w:rPr>
          <w:color w:val="000000" w:themeColor="text1"/>
        </w:rPr>
        <w:t xml:space="preserve"> to characterize the water exploitation patterns in</w:t>
      </w:r>
      <w:r w:rsidRPr="4B07FD26">
        <w:rPr>
          <w:color w:val="000000" w:themeColor="text1"/>
        </w:rPr>
        <w:t xml:space="preserve"> th</w:t>
      </w:r>
      <w:r w:rsidR="750275F2" w:rsidRPr="4B07FD26">
        <w:rPr>
          <w:color w:val="000000" w:themeColor="text1"/>
        </w:rPr>
        <w:t>is</w:t>
      </w:r>
      <w:r w:rsidRPr="4B07FD26">
        <w:rPr>
          <w:color w:val="000000" w:themeColor="text1"/>
        </w:rPr>
        <w:t xml:space="preserve"> case study and put it in relation to other pilot cases, both as input for the second phase of the participatory process</w:t>
      </w:r>
      <w:r w:rsidRPr="002B7BBB">
        <w:t>. In the scope of the study</w:t>
      </w:r>
      <w:r w:rsidR="2E41F8A6" w:rsidRPr="002B7BBB">
        <w:t xml:space="preserve"> in fact</w:t>
      </w:r>
      <w:r w:rsidRPr="002B7BBB">
        <w:t>, a series of Water Accounting Indicators (WAIs) ha</w:t>
      </w:r>
      <w:r w:rsidR="3DFD3E1C" w:rsidRPr="002B7BBB">
        <w:t>s</w:t>
      </w:r>
      <w:r w:rsidRPr="002B7BBB">
        <w:t xml:space="preserve"> been defined in order to monitor the parameters related to the key challenges of the Doñana pilot area, which have been determined according to the stakeholder engagement workshops. The general WAI list considered has been derived from the collective indicator archives of the European Environment Agency (EEA, 2022), the United Nations Educational, Scientific and Cultural </w:t>
      </w:r>
      <w:r w:rsidR="2464928F" w:rsidRPr="002B7BBB">
        <w:t>Organization</w:t>
      </w:r>
      <w:r w:rsidRPr="002B7BBB">
        <w:t xml:space="preserve"> (UNESCO, 2022), and the World Bank (WB, 2022) and narrowed down to the actual WAI list for Doñana pilot area according to the pilot’s key challenges and data availability (Table 1). </w:t>
      </w:r>
      <w:r w:rsidRPr="4B07FD26">
        <w:rPr>
          <w:color w:val="000000" w:themeColor="text1"/>
        </w:rPr>
        <w:t>In addition to providing a comparison of the current situation of the case study, WAIs allow the assessment of future conditions through their calculation applied in different climate scenarios.</w:t>
      </w:r>
    </w:p>
    <w:p w14:paraId="07459315" w14:textId="64951881" w:rsidR="003D0180" w:rsidRPr="006A3931" w:rsidRDefault="00A9597E" w:rsidP="006A3931">
      <w:pPr>
        <w:pBdr>
          <w:top w:val="nil"/>
          <w:left w:val="nil"/>
          <w:bottom w:val="nil"/>
          <w:right w:val="nil"/>
          <w:between w:val="nil"/>
        </w:pBdr>
        <w:tabs>
          <w:tab w:val="left" w:pos="0"/>
          <w:tab w:val="left" w:pos="1843"/>
        </w:tabs>
        <w:spacing w:before="120" w:after="0" w:line="240" w:lineRule="auto"/>
        <w:jc w:val="both"/>
        <w:rPr>
          <w:rFonts w:ascii="Times New Roman" w:eastAsia="Times New Roman" w:hAnsi="Times New Roman" w:cs="Times New Roman"/>
          <w:color w:val="000000" w:themeColor="text1"/>
          <w:lang w:eastAsia="pl-PL"/>
        </w:rPr>
      </w:pPr>
      <w:r w:rsidRPr="006A3931">
        <w:rPr>
          <w:rFonts w:ascii="Times New Roman" w:eastAsia="Times New Roman" w:hAnsi="Times New Roman" w:cs="Times New Roman"/>
          <w:color w:val="000000" w:themeColor="text1"/>
          <w:lang w:eastAsia="pl-PL"/>
        </w:rPr>
        <w:t xml:space="preserve">A second very interesting aspect that emerged from the WEAP modelling is the need to obtain quantitative indications about the environmental needs belonging to significant demand nodes in this type of system, such as marshland. This problem is counted among the results of this work because it has </w:t>
      </w:r>
      <w:r w:rsidR="00EC579D">
        <w:rPr>
          <w:rFonts w:ascii="Times New Roman" w:eastAsia="Times New Roman" w:hAnsi="Times New Roman" w:cs="Times New Roman"/>
          <w:color w:val="000000" w:themeColor="text1"/>
          <w:lang w:eastAsia="pl-PL"/>
        </w:rPr>
        <w:t xml:space="preserve">suggested the next developments </w:t>
      </w:r>
      <w:r w:rsidRPr="006A3931">
        <w:rPr>
          <w:rFonts w:ascii="Times New Roman" w:eastAsia="Times New Roman" w:hAnsi="Times New Roman" w:cs="Times New Roman"/>
          <w:color w:val="000000" w:themeColor="text1"/>
          <w:lang w:eastAsia="pl-PL"/>
        </w:rPr>
        <w:t xml:space="preserve">in the </w:t>
      </w:r>
      <w:r w:rsidR="00EC579D">
        <w:rPr>
          <w:rFonts w:ascii="Times New Roman" w:eastAsia="Times New Roman" w:hAnsi="Times New Roman" w:cs="Times New Roman"/>
          <w:color w:val="000000" w:themeColor="text1"/>
          <w:lang w:eastAsia="pl-PL"/>
        </w:rPr>
        <w:t xml:space="preserve">proposed </w:t>
      </w:r>
      <w:r w:rsidRPr="006A3931">
        <w:rPr>
          <w:rFonts w:ascii="Times New Roman" w:eastAsia="Times New Roman" w:hAnsi="Times New Roman" w:cs="Times New Roman"/>
          <w:color w:val="000000" w:themeColor="text1"/>
          <w:lang w:eastAsia="pl-PL"/>
        </w:rPr>
        <w:t xml:space="preserve">methodology. </w:t>
      </w:r>
      <w:r w:rsidR="00EC579D">
        <w:rPr>
          <w:rFonts w:ascii="Times New Roman" w:eastAsia="Times New Roman" w:hAnsi="Times New Roman" w:cs="Times New Roman"/>
          <w:color w:val="000000" w:themeColor="text1"/>
          <w:lang w:eastAsia="pl-PL"/>
        </w:rPr>
        <w:t>In fact, i</w:t>
      </w:r>
      <w:r w:rsidRPr="006A3931">
        <w:rPr>
          <w:rFonts w:ascii="Times New Roman" w:eastAsia="Times New Roman" w:hAnsi="Times New Roman" w:cs="Times New Roman"/>
          <w:color w:val="000000" w:themeColor="text1"/>
          <w:lang w:eastAsia="pl-PL"/>
        </w:rPr>
        <w:t xml:space="preserve">t has </w:t>
      </w:r>
      <w:r w:rsidR="00EC579D">
        <w:rPr>
          <w:rFonts w:ascii="Times New Roman" w:eastAsia="Times New Roman" w:hAnsi="Times New Roman" w:cs="Times New Roman"/>
          <w:color w:val="000000" w:themeColor="text1"/>
          <w:lang w:eastAsia="pl-PL"/>
        </w:rPr>
        <w:t xml:space="preserve">been </w:t>
      </w:r>
      <w:r w:rsidRPr="006A3931">
        <w:rPr>
          <w:rFonts w:ascii="Times New Roman" w:eastAsia="Times New Roman" w:hAnsi="Times New Roman" w:cs="Times New Roman"/>
          <w:color w:val="000000" w:themeColor="text1"/>
          <w:lang w:eastAsia="pl-PL"/>
        </w:rPr>
        <w:t xml:space="preserve">recognized the need to implement a specific model that would represent </w:t>
      </w:r>
      <w:r w:rsidR="00EC579D">
        <w:rPr>
          <w:rFonts w:ascii="Times New Roman" w:eastAsia="Times New Roman" w:hAnsi="Times New Roman" w:cs="Times New Roman"/>
          <w:color w:val="000000" w:themeColor="text1"/>
          <w:lang w:eastAsia="pl-PL"/>
        </w:rPr>
        <w:t xml:space="preserve">few </w:t>
      </w:r>
      <w:r w:rsidRPr="006A3931">
        <w:rPr>
          <w:rFonts w:ascii="Times New Roman" w:eastAsia="Times New Roman" w:hAnsi="Times New Roman" w:cs="Times New Roman"/>
          <w:color w:val="000000" w:themeColor="text1"/>
          <w:lang w:eastAsia="pl-PL"/>
        </w:rPr>
        <w:t>single and crucial environmental nodes.</w:t>
      </w:r>
    </w:p>
    <w:p w14:paraId="7A2371E4" w14:textId="77777777" w:rsidR="000321A8" w:rsidRDefault="000321A8" w:rsidP="006A393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bookmarkStart w:id="2" w:name="_heading=h.gjdgxs" w:colFirst="0" w:colLast="0"/>
      <w:bookmarkEnd w:id="2"/>
    </w:p>
    <w:p w14:paraId="5BF10A8A" w14:textId="77777777" w:rsidR="00574D33" w:rsidRDefault="00574D33" w:rsidP="006A393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p>
    <w:p w14:paraId="58FAE373" w14:textId="77777777" w:rsidR="00574D33" w:rsidRDefault="00574D33" w:rsidP="006A393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p>
    <w:p w14:paraId="2E5BA246" w14:textId="48B09929" w:rsidR="003D0180" w:rsidRDefault="00332222" w:rsidP="006A393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lastRenderedPageBreak/>
        <w:t>Table 1.</w:t>
      </w:r>
      <w:r>
        <w:rPr>
          <w:rFonts w:ascii="Times New Roman" w:eastAsia="Times New Roman" w:hAnsi="Times New Roman" w:cs="Times New Roman"/>
          <w:color w:val="000000"/>
          <w:sz w:val="18"/>
          <w:szCs w:val="18"/>
        </w:rPr>
        <w:t xml:space="preserve"> Monitored WAIs list for Doñana.</w:t>
      </w:r>
    </w:p>
    <w:p w14:paraId="7558B25E" w14:textId="77777777" w:rsidR="000321A8" w:rsidRDefault="000321A8" w:rsidP="006A393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bl>
      <w:tblPr>
        <w:tblStyle w:val="a"/>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861"/>
        <w:gridCol w:w="4820"/>
        <w:gridCol w:w="1200"/>
      </w:tblGrid>
      <w:tr w:rsidR="003D0180" w14:paraId="32BA3526"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32AFB29E"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2861" w:type="dxa"/>
            <w:tcBorders>
              <w:top w:val="single" w:sz="4" w:space="0" w:color="000000"/>
              <w:left w:val="single" w:sz="4" w:space="0" w:color="000000"/>
              <w:bottom w:val="single" w:sz="4" w:space="0" w:color="000000"/>
              <w:right w:val="single" w:sz="4" w:space="0" w:color="000000"/>
            </w:tcBorders>
            <w:vAlign w:val="center"/>
          </w:tcPr>
          <w:p w14:paraId="6613A19B"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Water Accounting Indicator (WAI)</w:t>
            </w:r>
          </w:p>
        </w:tc>
        <w:tc>
          <w:tcPr>
            <w:tcW w:w="4820" w:type="dxa"/>
            <w:tcBorders>
              <w:top w:val="single" w:sz="4" w:space="0" w:color="000000"/>
              <w:left w:val="single" w:sz="4" w:space="0" w:color="000000"/>
              <w:bottom w:val="single" w:sz="4" w:space="0" w:color="000000"/>
              <w:right w:val="single" w:sz="4" w:space="0" w:color="000000"/>
            </w:tcBorders>
            <w:vAlign w:val="center"/>
          </w:tcPr>
          <w:p w14:paraId="4DD0D5FF"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Short description of the indicator</w:t>
            </w:r>
          </w:p>
        </w:tc>
        <w:tc>
          <w:tcPr>
            <w:tcW w:w="1200" w:type="dxa"/>
            <w:tcBorders>
              <w:top w:val="single" w:sz="4" w:space="0" w:color="000000"/>
              <w:left w:val="single" w:sz="4" w:space="0" w:color="000000"/>
              <w:bottom w:val="single" w:sz="4" w:space="0" w:color="000000"/>
              <w:right w:val="single" w:sz="4" w:space="0" w:color="000000"/>
            </w:tcBorders>
            <w:vAlign w:val="center"/>
          </w:tcPr>
          <w:p w14:paraId="0FFE63E3"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Unit</w:t>
            </w:r>
          </w:p>
        </w:tc>
      </w:tr>
      <w:tr w:rsidR="003D0180" w14:paraId="62063781"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649841BE"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861" w:type="dxa"/>
            <w:tcBorders>
              <w:top w:val="single" w:sz="4" w:space="0" w:color="000000"/>
              <w:left w:val="single" w:sz="4" w:space="0" w:color="000000"/>
              <w:bottom w:val="single" w:sz="4" w:space="0" w:color="000000"/>
              <w:right w:val="single" w:sz="4" w:space="0" w:color="000000"/>
            </w:tcBorders>
            <w:vAlign w:val="center"/>
          </w:tcPr>
          <w:p w14:paraId="6727F8CD"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Sectoral Water Use</w:t>
            </w:r>
          </w:p>
        </w:tc>
        <w:tc>
          <w:tcPr>
            <w:tcW w:w="4820" w:type="dxa"/>
            <w:tcBorders>
              <w:top w:val="single" w:sz="4" w:space="0" w:color="000000"/>
              <w:left w:val="single" w:sz="4" w:space="0" w:color="000000"/>
              <w:bottom w:val="single" w:sz="4" w:space="0" w:color="000000"/>
              <w:right w:val="single" w:sz="4" w:space="0" w:color="000000"/>
            </w:tcBorders>
            <w:vAlign w:val="center"/>
          </w:tcPr>
          <w:p w14:paraId="4B731563"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Water use percentage of each sector available in the pilot area</w:t>
            </w:r>
          </w:p>
        </w:tc>
        <w:tc>
          <w:tcPr>
            <w:tcW w:w="1200" w:type="dxa"/>
            <w:tcBorders>
              <w:top w:val="single" w:sz="4" w:space="0" w:color="000000"/>
              <w:left w:val="single" w:sz="4" w:space="0" w:color="000000"/>
              <w:bottom w:val="single" w:sz="4" w:space="0" w:color="000000"/>
              <w:right w:val="single" w:sz="4" w:space="0" w:color="000000"/>
            </w:tcBorders>
            <w:vAlign w:val="center"/>
          </w:tcPr>
          <w:p w14:paraId="6462C093"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D0180" w14:paraId="2EFDD3A2"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18F999B5"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861" w:type="dxa"/>
            <w:tcBorders>
              <w:top w:val="single" w:sz="4" w:space="0" w:color="000000"/>
              <w:left w:val="single" w:sz="4" w:space="0" w:color="000000"/>
              <w:bottom w:val="single" w:sz="4" w:space="0" w:color="000000"/>
              <w:right w:val="single" w:sz="4" w:space="0" w:color="000000"/>
            </w:tcBorders>
            <w:vAlign w:val="center"/>
          </w:tcPr>
          <w:p w14:paraId="51D5A742"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total amount of supply</w:t>
            </w:r>
          </w:p>
        </w:tc>
        <w:tc>
          <w:tcPr>
            <w:tcW w:w="4820" w:type="dxa"/>
            <w:tcBorders>
              <w:top w:val="single" w:sz="4" w:space="0" w:color="000000"/>
              <w:left w:val="single" w:sz="4" w:space="0" w:color="000000"/>
              <w:bottom w:val="single" w:sz="4" w:space="0" w:color="000000"/>
              <w:right w:val="single" w:sz="4" w:space="0" w:color="000000"/>
            </w:tcBorders>
            <w:vAlign w:val="center"/>
          </w:tcPr>
          <w:p w14:paraId="57112171"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annual total amount of water supply delivered to each demand site (urban, industrial, agricultural, environmental)</w:t>
            </w:r>
          </w:p>
        </w:tc>
        <w:tc>
          <w:tcPr>
            <w:tcW w:w="1200" w:type="dxa"/>
            <w:tcBorders>
              <w:top w:val="single" w:sz="4" w:space="0" w:color="000000"/>
              <w:left w:val="single" w:sz="4" w:space="0" w:color="000000"/>
              <w:bottom w:val="single" w:sz="4" w:space="0" w:color="000000"/>
              <w:right w:val="single" w:sz="4" w:space="0" w:color="000000"/>
            </w:tcBorders>
            <w:vAlign w:val="center"/>
          </w:tcPr>
          <w:p w14:paraId="7E5B1242"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hm</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/year</w:t>
            </w:r>
          </w:p>
        </w:tc>
      </w:tr>
      <w:tr w:rsidR="003D0180" w14:paraId="133892B4"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5FCD5EC4"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861" w:type="dxa"/>
            <w:tcBorders>
              <w:top w:val="single" w:sz="4" w:space="0" w:color="000000"/>
              <w:left w:val="single" w:sz="4" w:space="0" w:color="000000"/>
              <w:bottom w:val="single" w:sz="4" w:space="0" w:color="000000"/>
              <w:right w:val="single" w:sz="4" w:space="0" w:color="000000"/>
            </w:tcBorders>
            <w:vAlign w:val="center"/>
          </w:tcPr>
          <w:p w14:paraId="19A6885D"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total amount of demand</w:t>
            </w:r>
          </w:p>
        </w:tc>
        <w:tc>
          <w:tcPr>
            <w:tcW w:w="4820" w:type="dxa"/>
            <w:tcBorders>
              <w:top w:val="single" w:sz="4" w:space="0" w:color="000000"/>
              <w:left w:val="single" w:sz="4" w:space="0" w:color="000000"/>
              <w:bottom w:val="single" w:sz="4" w:space="0" w:color="000000"/>
              <w:right w:val="single" w:sz="4" w:space="0" w:color="000000"/>
            </w:tcBorders>
            <w:vAlign w:val="center"/>
          </w:tcPr>
          <w:p w14:paraId="4DFDF0F9"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annual total amount of water demand needed by each demand site</w:t>
            </w:r>
          </w:p>
        </w:tc>
        <w:tc>
          <w:tcPr>
            <w:tcW w:w="1200" w:type="dxa"/>
            <w:tcBorders>
              <w:top w:val="single" w:sz="4" w:space="0" w:color="000000"/>
              <w:left w:val="single" w:sz="4" w:space="0" w:color="000000"/>
              <w:bottom w:val="single" w:sz="4" w:space="0" w:color="000000"/>
              <w:right w:val="single" w:sz="4" w:space="0" w:color="000000"/>
            </w:tcBorders>
            <w:vAlign w:val="center"/>
          </w:tcPr>
          <w:p w14:paraId="1B0D21CA"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hm</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/year</w:t>
            </w:r>
          </w:p>
        </w:tc>
      </w:tr>
      <w:tr w:rsidR="003D0180" w14:paraId="4E593F34"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2598DEE6"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861" w:type="dxa"/>
            <w:tcBorders>
              <w:top w:val="single" w:sz="4" w:space="0" w:color="000000"/>
              <w:left w:val="single" w:sz="4" w:space="0" w:color="000000"/>
              <w:bottom w:val="single" w:sz="4" w:space="0" w:color="000000"/>
              <w:right w:val="single" w:sz="4" w:space="0" w:color="000000"/>
            </w:tcBorders>
            <w:vAlign w:val="center"/>
          </w:tcPr>
          <w:p w14:paraId="33D25865"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Supply-demand ratio</w:t>
            </w:r>
          </w:p>
        </w:tc>
        <w:tc>
          <w:tcPr>
            <w:tcW w:w="4820" w:type="dxa"/>
            <w:tcBorders>
              <w:top w:val="single" w:sz="4" w:space="0" w:color="000000"/>
              <w:left w:val="single" w:sz="4" w:space="0" w:color="000000"/>
              <w:bottom w:val="single" w:sz="4" w:space="0" w:color="000000"/>
              <w:right w:val="single" w:sz="4" w:space="0" w:color="000000"/>
            </w:tcBorders>
            <w:vAlign w:val="center"/>
          </w:tcPr>
          <w:p w14:paraId="5F11FCF6"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annual water supply-demand ratio of each sector available in the pilot area</w:t>
            </w:r>
          </w:p>
        </w:tc>
        <w:tc>
          <w:tcPr>
            <w:tcW w:w="1200" w:type="dxa"/>
            <w:tcBorders>
              <w:top w:val="single" w:sz="4" w:space="0" w:color="000000"/>
              <w:left w:val="single" w:sz="4" w:space="0" w:color="000000"/>
              <w:bottom w:val="single" w:sz="4" w:space="0" w:color="000000"/>
              <w:right w:val="single" w:sz="4" w:space="0" w:color="000000"/>
            </w:tcBorders>
            <w:vAlign w:val="center"/>
          </w:tcPr>
          <w:p w14:paraId="5E50E1C8"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D0180" w14:paraId="59DCEB00"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78941E47"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861" w:type="dxa"/>
            <w:tcBorders>
              <w:top w:val="single" w:sz="4" w:space="0" w:color="000000"/>
              <w:left w:val="single" w:sz="4" w:space="0" w:color="000000"/>
              <w:bottom w:val="single" w:sz="4" w:space="0" w:color="000000"/>
              <w:right w:val="single" w:sz="4" w:space="0" w:color="000000"/>
            </w:tcBorders>
            <w:vAlign w:val="center"/>
          </w:tcPr>
          <w:p w14:paraId="468F1F6C"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Unmet demand</w:t>
            </w:r>
          </w:p>
        </w:tc>
        <w:tc>
          <w:tcPr>
            <w:tcW w:w="4820" w:type="dxa"/>
            <w:tcBorders>
              <w:top w:val="single" w:sz="4" w:space="0" w:color="000000"/>
              <w:left w:val="single" w:sz="4" w:space="0" w:color="000000"/>
              <w:bottom w:val="single" w:sz="4" w:space="0" w:color="000000"/>
              <w:right w:val="single" w:sz="4" w:space="0" w:color="000000"/>
            </w:tcBorders>
            <w:vAlign w:val="center"/>
          </w:tcPr>
          <w:p w14:paraId="7DEFA7CD"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annual water amount that lacking by each demand site</w:t>
            </w:r>
          </w:p>
        </w:tc>
        <w:tc>
          <w:tcPr>
            <w:tcW w:w="1200" w:type="dxa"/>
            <w:tcBorders>
              <w:top w:val="single" w:sz="4" w:space="0" w:color="000000"/>
              <w:left w:val="single" w:sz="4" w:space="0" w:color="000000"/>
              <w:bottom w:val="single" w:sz="4" w:space="0" w:color="000000"/>
              <w:right w:val="single" w:sz="4" w:space="0" w:color="000000"/>
            </w:tcBorders>
            <w:vAlign w:val="center"/>
          </w:tcPr>
          <w:p w14:paraId="0625F292"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hm</w:t>
            </w: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/year</w:t>
            </w:r>
          </w:p>
        </w:tc>
      </w:tr>
      <w:tr w:rsidR="003D0180" w14:paraId="48947D41"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29B4EA11"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861" w:type="dxa"/>
            <w:tcBorders>
              <w:top w:val="single" w:sz="4" w:space="0" w:color="000000"/>
              <w:left w:val="single" w:sz="4" w:space="0" w:color="000000"/>
              <w:bottom w:val="single" w:sz="4" w:space="0" w:color="000000"/>
              <w:right w:val="single" w:sz="4" w:space="0" w:color="000000"/>
            </w:tcBorders>
            <w:vAlign w:val="center"/>
          </w:tcPr>
          <w:p w14:paraId="08D47C67"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Reliability of source</w:t>
            </w:r>
          </w:p>
        </w:tc>
        <w:tc>
          <w:tcPr>
            <w:tcW w:w="4820" w:type="dxa"/>
            <w:tcBorders>
              <w:top w:val="single" w:sz="4" w:space="0" w:color="000000"/>
              <w:left w:val="single" w:sz="4" w:space="0" w:color="000000"/>
              <w:bottom w:val="single" w:sz="4" w:space="0" w:color="000000"/>
              <w:right w:val="single" w:sz="4" w:space="0" w:color="000000"/>
            </w:tcBorders>
            <w:vAlign w:val="center"/>
          </w:tcPr>
          <w:p w14:paraId="75FF31D9"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percentage of time that the demand site’s demands have been covered</w:t>
            </w:r>
          </w:p>
        </w:tc>
        <w:tc>
          <w:tcPr>
            <w:tcW w:w="1200" w:type="dxa"/>
            <w:tcBorders>
              <w:top w:val="single" w:sz="4" w:space="0" w:color="000000"/>
              <w:left w:val="single" w:sz="4" w:space="0" w:color="000000"/>
              <w:bottom w:val="single" w:sz="4" w:space="0" w:color="000000"/>
              <w:right w:val="single" w:sz="4" w:space="0" w:color="000000"/>
            </w:tcBorders>
            <w:vAlign w:val="center"/>
          </w:tcPr>
          <w:p w14:paraId="5D52869B"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D0180" w14:paraId="0AD52E01"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75697EEC"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861" w:type="dxa"/>
            <w:tcBorders>
              <w:top w:val="single" w:sz="4" w:space="0" w:color="000000"/>
              <w:left w:val="single" w:sz="4" w:space="0" w:color="000000"/>
              <w:bottom w:val="single" w:sz="4" w:space="0" w:color="000000"/>
              <w:right w:val="single" w:sz="4" w:space="0" w:color="000000"/>
            </w:tcBorders>
            <w:vAlign w:val="center"/>
          </w:tcPr>
          <w:p w14:paraId="4F17947E"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Coverage of demand</w:t>
            </w:r>
          </w:p>
        </w:tc>
        <w:tc>
          <w:tcPr>
            <w:tcW w:w="4820" w:type="dxa"/>
            <w:tcBorders>
              <w:top w:val="single" w:sz="4" w:space="0" w:color="000000"/>
              <w:left w:val="single" w:sz="4" w:space="0" w:color="000000"/>
              <w:bottom w:val="single" w:sz="4" w:space="0" w:color="000000"/>
              <w:right w:val="single" w:sz="4" w:space="0" w:color="000000"/>
            </w:tcBorders>
            <w:vAlign w:val="center"/>
          </w:tcPr>
          <w:p w14:paraId="5C4BBF1A"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ratio of the amount delivered divided by the flow requirement.</w:t>
            </w:r>
          </w:p>
        </w:tc>
        <w:tc>
          <w:tcPr>
            <w:tcW w:w="1200" w:type="dxa"/>
            <w:tcBorders>
              <w:top w:val="single" w:sz="4" w:space="0" w:color="000000"/>
              <w:left w:val="single" w:sz="4" w:space="0" w:color="000000"/>
              <w:bottom w:val="single" w:sz="4" w:space="0" w:color="000000"/>
              <w:right w:val="single" w:sz="4" w:space="0" w:color="000000"/>
            </w:tcBorders>
            <w:vAlign w:val="center"/>
          </w:tcPr>
          <w:p w14:paraId="4617B7B6"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D0180" w14:paraId="128C0266"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44B0A208"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861" w:type="dxa"/>
            <w:tcBorders>
              <w:top w:val="single" w:sz="4" w:space="0" w:color="000000"/>
              <w:left w:val="single" w:sz="4" w:space="0" w:color="000000"/>
              <w:bottom w:val="single" w:sz="4" w:space="0" w:color="000000"/>
              <w:right w:val="single" w:sz="4" w:space="0" w:color="000000"/>
            </w:tcBorders>
            <w:vAlign w:val="center"/>
          </w:tcPr>
          <w:p w14:paraId="5421DE9B"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Water Exploitation Index (WEI)</w:t>
            </w:r>
          </w:p>
        </w:tc>
        <w:tc>
          <w:tcPr>
            <w:tcW w:w="4820" w:type="dxa"/>
            <w:tcBorders>
              <w:top w:val="single" w:sz="4" w:space="0" w:color="000000"/>
              <w:left w:val="single" w:sz="4" w:space="0" w:color="000000"/>
              <w:bottom w:val="single" w:sz="4" w:space="0" w:color="000000"/>
              <w:right w:val="single" w:sz="4" w:space="0" w:color="000000"/>
            </w:tcBorders>
            <w:vAlign w:val="center"/>
          </w:tcPr>
          <w:p w14:paraId="0CA2EDB1"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mean annual total demand for surface water divided by the long-term average surface water resources</w:t>
            </w:r>
          </w:p>
        </w:tc>
        <w:tc>
          <w:tcPr>
            <w:tcW w:w="1200" w:type="dxa"/>
            <w:tcBorders>
              <w:top w:val="single" w:sz="4" w:space="0" w:color="000000"/>
              <w:left w:val="single" w:sz="4" w:space="0" w:color="000000"/>
              <w:bottom w:val="single" w:sz="4" w:space="0" w:color="000000"/>
              <w:right w:val="single" w:sz="4" w:space="0" w:color="000000"/>
            </w:tcBorders>
            <w:vAlign w:val="center"/>
          </w:tcPr>
          <w:p w14:paraId="2E92153E"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D0180" w14:paraId="3DB1C6AC" w14:textId="77777777">
        <w:tc>
          <w:tcPr>
            <w:tcW w:w="747" w:type="dxa"/>
            <w:tcBorders>
              <w:top w:val="single" w:sz="4" w:space="0" w:color="000000"/>
              <w:left w:val="single" w:sz="4" w:space="0" w:color="000000"/>
              <w:bottom w:val="single" w:sz="4" w:space="0" w:color="000000"/>
              <w:right w:val="single" w:sz="4" w:space="0" w:color="000000"/>
            </w:tcBorders>
            <w:vAlign w:val="center"/>
          </w:tcPr>
          <w:p w14:paraId="2B2B7304"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861" w:type="dxa"/>
            <w:tcBorders>
              <w:top w:val="single" w:sz="4" w:space="0" w:color="000000"/>
              <w:left w:val="single" w:sz="4" w:space="0" w:color="000000"/>
              <w:bottom w:val="single" w:sz="4" w:space="0" w:color="000000"/>
              <w:right w:val="single" w:sz="4" w:space="0" w:color="000000"/>
            </w:tcBorders>
            <w:vAlign w:val="center"/>
          </w:tcPr>
          <w:p w14:paraId="7304DD9C"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Groundwater Exploitation Index (GEI)</w:t>
            </w:r>
          </w:p>
        </w:tc>
        <w:tc>
          <w:tcPr>
            <w:tcW w:w="4820" w:type="dxa"/>
            <w:tcBorders>
              <w:top w:val="single" w:sz="4" w:space="0" w:color="000000"/>
              <w:left w:val="single" w:sz="4" w:space="0" w:color="000000"/>
              <w:bottom w:val="single" w:sz="4" w:space="0" w:color="000000"/>
              <w:right w:val="single" w:sz="4" w:space="0" w:color="000000"/>
            </w:tcBorders>
            <w:vAlign w:val="center"/>
          </w:tcPr>
          <w:p w14:paraId="0BADF772"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mean annual total demand for groundwater divided by the long-term average groundwater resources</w:t>
            </w:r>
          </w:p>
        </w:tc>
        <w:tc>
          <w:tcPr>
            <w:tcW w:w="1200" w:type="dxa"/>
            <w:tcBorders>
              <w:top w:val="single" w:sz="4" w:space="0" w:color="000000"/>
              <w:left w:val="single" w:sz="4" w:space="0" w:color="000000"/>
              <w:bottom w:val="single" w:sz="4" w:space="0" w:color="000000"/>
              <w:right w:val="single" w:sz="4" w:space="0" w:color="000000"/>
            </w:tcBorders>
            <w:vAlign w:val="center"/>
          </w:tcPr>
          <w:p w14:paraId="571B7812" w14:textId="77777777" w:rsidR="003D0180" w:rsidRDefault="0033222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6537F28F" w14:textId="77777777" w:rsidR="003D0180" w:rsidRDefault="003D0180">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color w:val="000000"/>
        </w:rPr>
      </w:pPr>
    </w:p>
    <w:p w14:paraId="25F224A7" w14:textId="0AA6BB90" w:rsidR="003D0180" w:rsidRDefault="11DF985A" w:rsidP="000321A8">
      <w:pPr>
        <w:pStyle w:val="IAHRtext"/>
      </w:pPr>
      <w:r w:rsidRPr="4B07FD26">
        <w:t xml:space="preserve">The development </w:t>
      </w:r>
      <w:r w:rsidR="1A6FF879" w:rsidRPr="4B07FD26">
        <w:t xml:space="preserve">of </w:t>
      </w:r>
      <w:r w:rsidR="00332222" w:rsidRPr="4B07FD26">
        <w:t xml:space="preserve">a sectoral model for </w:t>
      </w:r>
      <w:r w:rsidR="73E8408F" w:rsidRPr="4B07FD26">
        <w:t xml:space="preserve">the </w:t>
      </w:r>
      <w:r w:rsidR="00332222" w:rsidRPr="4B07FD26">
        <w:t>marshland</w:t>
      </w:r>
      <w:r w:rsidR="63F494BF" w:rsidRPr="4B07FD26">
        <w:t xml:space="preserve"> </w:t>
      </w:r>
      <w:r w:rsidR="46F12FFF" w:rsidRPr="4B07FD26">
        <w:t xml:space="preserve">water balance becomes crucial to evaluate the human and </w:t>
      </w:r>
      <w:r w:rsidR="79CAA4D1" w:rsidRPr="4B07FD26">
        <w:t xml:space="preserve">natural impacts including climate variability. </w:t>
      </w:r>
      <w:r w:rsidR="00332222" w:rsidRPr="4B07FD26">
        <w:t xml:space="preserve">As already mentioned, the marshland of Doñana like many other areas in the world is denoted by extremely variable climatic characteristics both interannual and between one year and another. </w:t>
      </w:r>
      <w:r w:rsidR="719C182F" w:rsidRPr="4B07FD26">
        <w:t xml:space="preserve">In such conditions, </w:t>
      </w:r>
      <w:r w:rsidR="00332222" w:rsidRPr="4B07FD26">
        <w:t>it is not only difficult to understand whether the environment is under abnormal or physiological stress for the well-being of its ecosystems, but certainly</w:t>
      </w:r>
      <w:r w:rsidR="003B56EF">
        <w:t>,</w:t>
      </w:r>
      <w:r w:rsidR="00332222" w:rsidRPr="4B07FD26">
        <w:t xml:space="preserve"> </w:t>
      </w:r>
      <w:r w:rsidR="00EC579D" w:rsidRPr="4B07FD26">
        <w:t>th</w:t>
      </w:r>
      <w:r w:rsidR="00EC579D">
        <w:t>is</w:t>
      </w:r>
      <w:r w:rsidR="00EC579D" w:rsidRPr="4B07FD26">
        <w:t xml:space="preserve"> </w:t>
      </w:r>
      <w:r w:rsidR="00332222" w:rsidRPr="4B07FD26">
        <w:t>assessment cannot be trivialized by fixed values based on current data that do not take into account</w:t>
      </w:r>
      <w:r w:rsidR="00EC579D">
        <w:t xml:space="preserve"> water mass conservation </w:t>
      </w:r>
      <w:r w:rsidR="00332222" w:rsidRPr="4B07FD26">
        <w:t xml:space="preserve">of the system. Even the minimum and maximum quantities of water needed </w:t>
      </w:r>
      <w:r w:rsidR="003B56EF">
        <w:t>for</w:t>
      </w:r>
      <w:r w:rsidR="003B56EF" w:rsidRPr="4B07FD26">
        <w:t xml:space="preserve"> </w:t>
      </w:r>
      <w:r w:rsidR="00332222" w:rsidRPr="4B07FD26">
        <w:t>the system are to be considered, but this must be done in a dynamic way and not through fixed ranges that are linked to a particular situation</w:t>
      </w:r>
      <w:r w:rsidR="4ED40277" w:rsidRPr="4B07FD26">
        <w:t xml:space="preserve"> </w:t>
      </w:r>
      <w:r w:rsidR="00332222" w:rsidRPr="4B07FD26">
        <w:t>(Toronto and Regional Conservation Authority, 2020)</w:t>
      </w:r>
      <w:r w:rsidR="09C886E2" w:rsidRPr="4B07FD26">
        <w:t>.</w:t>
      </w:r>
      <w:r w:rsidR="003B56EF">
        <w:t xml:space="preserve"> </w:t>
      </w:r>
      <w:r w:rsidR="00332222" w:rsidRPr="4B07FD26">
        <w:t xml:space="preserve">Adding another </w:t>
      </w:r>
      <w:r w:rsidR="396C1ECC" w:rsidRPr="4B07FD26">
        <w:t xml:space="preserve">sectoral </w:t>
      </w:r>
      <w:r w:rsidR="00332222" w:rsidRPr="4B07FD26">
        <w:t xml:space="preserve">model to the </w:t>
      </w:r>
      <w:r w:rsidR="42200BF5" w:rsidRPr="4B07FD26">
        <w:t xml:space="preserve">general model structure is under development </w:t>
      </w:r>
      <w:r w:rsidR="41DCF7B2" w:rsidRPr="4B07FD26">
        <w:t>using a simplified conceptual scheme (</w:t>
      </w:r>
      <w:r w:rsidR="584B6B8C" w:rsidRPr="4B07FD26">
        <w:t>Lee et al., 2020)</w:t>
      </w:r>
      <w:r w:rsidR="41DCF7B2" w:rsidRPr="4B07FD26">
        <w:t xml:space="preserve"> allowing for a dynamic representation of the wetland water storage </w:t>
      </w:r>
      <w:r w:rsidR="03381281" w:rsidRPr="4B07FD26">
        <w:t xml:space="preserve">as well as </w:t>
      </w:r>
      <w:r w:rsidR="00EC579D">
        <w:t xml:space="preserve">its </w:t>
      </w:r>
      <w:r w:rsidR="03381281" w:rsidRPr="4B07FD26">
        <w:t>inflows and outflows, though keeping the mathematical formulation as simple as possible</w:t>
      </w:r>
      <w:r w:rsidR="091A76C3" w:rsidRPr="4B07FD26">
        <w:t xml:space="preserve">. </w:t>
      </w:r>
      <w:r w:rsidR="00332222" w:rsidRPr="4B07FD26">
        <w:t xml:space="preserve">The sectoral hydrological model for </w:t>
      </w:r>
      <w:r w:rsidR="0EFCDB05" w:rsidRPr="4B07FD26">
        <w:t xml:space="preserve">the marshland </w:t>
      </w:r>
      <w:r w:rsidR="127D11F2" w:rsidRPr="4B07FD26">
        <w:t xml:space="preserve">will </w:t>
      </w:r>
      <w:r w:rsidR="00332222" w:rsidRPr="4B07FD26">
        <w:t xml:space="preserve">be validated on historical data and possibly reviewed by </w:t>
      </w:r>
      <w:r w:rsidR="23616DC6" w:rsidRPr="4B07FD26">
        <w:t>ecological</w:t>
      </w:r>
      <w:r w:rsidR="7A64993D" w:rsidRPr="4B07FD26">
        <w:t xml:space="preserve"> local </w:t>
      </w:r>
      <w:r w:rsidR="00332222" w:rsidRPr="4B07FD26">
        <w:t xml:space="preserve">experts in order to consider the environment as a water resource user. The goal to be achieved through this </w:t>
      </w:r>
      <w:r w:rsidR="440EFB2D" w:rsidRPr="4B07FD26">
        <w:t xml:space="preserve">wetland water balance </w:t>
      </w:r>
      <w:r w:rsidR="00332222" w:rsidRPr="4B07FD26">
        <w:t xml:space="preserve">tool is also to assess the effect of climate change and anthropic actions </w:t>
      </w:r>
      <w:r w:rsidR="003B56EF">
        <w:t>on</w:t>
      </w:r>
      <w:r w:rsidR="003B56EF" w:rsidRPr="4B07FD26">
        <w:t xml:space="preserve"> </w:t>
      </w:r>
      <w:r w:rsidR="00332222" w:rsidRPr="4B07FD26">
        <w:t xml:space="preserve">the environment in </w:t>
      </w:r>
      <w:r w:rsidR="003B56EF">
        <w:t xml:space="preserve">the </w:t>
      </w:r>
      <w:r w:rsidR="00332222" w:rsidRPr="4B07FD26">
        <w:t xml:space="preserve">future </w:t>
      </w:r>
      <w:r w:rsidR="7F87B1B9" w:rsidRPr="4B07FD26">
        <w:t xml:space="preserve">and to couple it </w:t>
      </w:r>
      <w:r w:rsidR="08423BA3" w:rsidRPr="4B07FD26">
        <w:t xml:space="preserve">with </w:t>
      </w:r>
      <w:r w:rsidR="00332222" w:rsidRPr="4B07FD26">
        <w:t>water allocation model</w:t>
      </w:r>
      <w:r w:rsidR="003B56EF">
        <w:t>l</w:t>
      </w:r>
      <w:r w:rsidR="00332222" w:rsidRPr="4B07FD26">
        <w:t>ing.</w:t>
      </w:r>
    </w:p>
    <w:p w14:paraId="6DFB9E20" w14:textId="77777777" w:rsidR="003D0180" w:rsidRDefault="003D0180" w:rsidP="000321A8">
      <w:pPr>
        <w:pStyle w:val="IAHRtext"/>
        <w:rPr>
          <w:b/>
          <w:color w:val="000000"/>
        </w:rPr>
      </w:pPr>
    </w:p>
    <w:p w14:paraId="198A9AD6" w14:textId="2FA7DF0D" w:rsidR="003D0180" w:rsidRDefault="00332222">
      <w:pPr>
        <w:numPr>
          <w:ilvl w:val="0"/>
          <w:numId w:val="1"/>
        </w:numPr>
        <w:pBdr>
          <w:top w:val="nil"/>
          <w:left w:val="nil"/>
          <w:bottom w:val="nil"/>
          <w:right w:val="nil"/>
          <w:between w:val="nil"/>
        </w:pBdr>
        <w:tabs>
          <w:tab w:val="left" w:pos="567"/>
          <w:tab w:val="left" w:pos="1843"/>
        </w:tabs>
        <w:spacing w:before="120" w:after="0" w:line="240" w:lineRule="auto"/>
        <w:jc w:val="both"/>
      </w:pPr>
      <w:r>
        <w:rPr>
          <w:rFonts w:ascii="Times New Roman" w:eastAsia="Times New Roman" w:hAnsi="Times New Roman" w:cs="Times New Roman"/>
          <w:b/>
          <w:color w:val="000000"/>
        </w:rPr>
        <w:t xml:space="preserve">Conclusions and overview </w:t>
      </w:r>
      <w:r w:rsidR="003B56EF">
        <w:rPr>
          <w:rFonts w:ascii="Times New Roman" w:eastAsia="Times New Roman" w:hAnsi="Times New Roman" w:cs="Times New Roman"/>
          <w:b/>
          <w:color w:val="000000"/>
        </w:rPr>
        <w:t xml:space="preserve">of </w:t>
      </w:r>
      <w:r>
        <w:rPr>
          <w:rFonts w:ascii="Times New Roman" w:eastAsia="Times New Roman" w:hAnsi="Times New Roman" w:cs="Times New Roman"/>
          <w:b/>
          <w:color w:val="000000"/>
        </w:rPr>
        <w:t>future activities</w:t>
      </w:r>
    </w:p>
    <w:p w14:paraId="54227FCD" w14:textId="397649BF" w:rsidR="003B56EF" w:rsidRDefault="00332222" w:rsidP="4B07FD26">
      <w:pPr>
        <w:spacing w:before="120" w:after="0" w:line="240" w:lineRule="auto"/>
        <w:jc w:val="both"/>
        <w:rPr>
          <w:rFonts w:ascii="Times New Roman" w:eastAsia="Times New Roman" w:hAnsi="Times New Roman" w:cs="Times New Roman"/>
        </w:rPr>
      </w:pPr>
      <w:r w:rsidRPr="4B07FD26">
        <w:rPr>
          <w:rFonts w:ascii="Times New Roman" w:eastAsia="Times New Roman" w:hAnsi="Times New Roman" w:cs="Times New Roman"/>
          <w:color w:val="000000" w:themeColor="text1"/>
        </w:rPr>
        <w:t xml:space="preserve">This work has </w:t>
      </w:r>
      <w:r w:rsidR="6BA08479" w:rsidRPr="4B07FD26">
        <w:rPr>
          <w:rFonts w:ascii="Times New Roman" w:eastAsia="Times New Roman" w:hAnsi="Times New Roman" w:cs="Times New Roman"/>
          <w:color w:val="000000" w:themeColor="text1"/>
        </w:rPr>
        <w:t xml:space="preserve">presented a </w:t>
      </w:r>
      <w:r w:rsidRPr="4B07FD26">
        <w:rPr>
          <w:rFonts w:ascii="Times New Roman" w:eastAsia="Times New Roman" w:hAnsi="Times New Roman" w:cs="Times New Roman"/>
          <w:color w:val="000000" w:themeColor="text1"/>
        </w:rPr>
        <w:t>methodolog</w:t>
      </w:r>
      <w:r w:rsidR="39AC1BCF" w:rsidRPr="4B07FD26">
        <w:rPr>
          <w:rFonts w:ascii="Times New Roman" w:eastAsia="Times New Roman" w:hAnsi="Times New Roman" w:cs="Times New Roman"/>
          <w:color w:val="000000" w:themeColor="text1"/>
        </w:rPr>
        <w:t xml:space="preserve">ical framework for socio-hydrological modelling </w:t>
      </w:r>
      <w:r w:rsidR="05E77B7D" w:rsidRPr="4B07FD26">
        <w:rPr>
          <w:rFonts w:ascii="Times New Roman" w:eastAsia="Times New Roman" w:hAnsi="Times New Roman" w:cs="Times New Roman"/>
          <w:color w:val="000000" w:themeColor="text1"/>
        </w:rPr>
        <w:t>applied to the Doñana region. The adopted approach is no</w:t>
      </w:r>
      <w:r w:rsidR="6CE6BD86" w:rsidRPr="4B07FD26">
        <w:rPr>
          <w:rFonts w:ascii="Times New Roman" w:eastAsia="Times New Roman" w:hAnsi="Times New Roman" w:cs="Times New Roman"/>
          <w:color w:val="000000" w:themeColor="text1"/>
        </w:rPr>
        <w:t xml:space="preserve">t based on a mere coupling of sectoral models </w:t>
      </w:r>
      <w:r w:rsidR="36856B30" w:rsidRPr="4B07FD26">
        <w:rPr>
          <w:rFonts w:ascii="Times New Roman" w:eastAsia="Times New Roman" w:hAnsi="Times New Roman" w:cs="Times New Roman"/>
          <w:color w:val="000000" w:themeColor="text1"/>
        </w:rPr>
        <w:t xml:space="preserve">but is the composite result of iterative stakeholder </w:t>
      </w:r>
      <w:r w:rsidR="3555C01B" w:rsidRPr="4B07FD26">
        <w:rPr>
          <w:rFonts w:ascii="Times New Roman" w:eastAsia="Times New Roman" w:hAnsi="Times New Roman" w:cs="Times New Roman"/>
          <w:color w:val="000000" w:themeColor="text1"/>
        </w:rPr>
        <w:t>engagement</w:t>
      </w:r>
      <w:r w:rsidR="36856B30" w:rsidRPr="4B07FD26">
        <w:rPr>
          <w:rFonts w:ascii="Times New Roman" w:eastAsia="Times New Roman" w:hAnsi="Times New Roman" w:cs="Times New Roman"/>
          <w:color w:val="000000" w:themeColor="text1"/>
        </w:rPr>
        <w:t xml:space="preserve"> for problem fram</w:t>
      </w:r>
      <w:r w:rsidR="33DD6EAD" w:rsidRPr="4B07FD26">
        <w:rPr>
          <w:rFonts w:ascii="Times New Roman" w:eastAsia="Times New Roman" w:hAnsi="Times New Roman" w:cs="Times New Roman"/>
          <w:color w:val="000000" w:themeColor="text1"/>
        </w:rPr>
        <w:t xml:space="preserve">ing, model </w:t>
      </w:r>
      <w:r w:rsidR="003B56EF">
        <w:rPr>
          <w:rFonts w:ascii="Times New Roman" w:eastAsia="Times New Roman" w:hAnsi="Times New Roman" w:cs="Times New Roman"/>
          <w:color w:val="000000" w:themeColor="text1"/>
        </w:rPr>
        <w:t>v</w:t>
      </w:r>
      <w:r w:rsidR="33DD6EAD" w:rsidRPr="4B07FD26">
        <w:rPr>
          <w:rFonts w:ascii="Times New Roman" w:eastAsia="Times New Roman" w:hAnsi="Times New Roman" w:cs="Times New Roman"/>
          <w:color w:val="000000" w:themeColor="text1"/>
        </w:rPr>
        <w:t>alidation</w:t>
      </w:r>
      <w:r w:rsidR="003B56EF">
        <w:rPr>
          <w:rFonts w:ascii="Times New Roman" w:eastAsia="Times New Roman" w:hAnsi="Times New Roman" w:cs="Times New Roman"/>
          <w:color w:val="000000" w:themeColor="text1"/>
        </w:rPr>
        <w:t>,</w:t>
      </w:r>
      <w:r w:rsidR="33DD6EAD" w:rsidRPr="4B07FD26">
        <w:rPr>
          <w:rFonts w:ascii="Times New Roman" w:eastAsia="Times New Roman" w:hAnsi="Times New Roman" w:cs="Times New Roman"/>
          <w:color w:val="000000" w:themeColor="text1"/>
        </w:rPr>
        <w:t xml:space="preserve"> and scenario analysis. </w:t>
      </w:r>
      <w:r w:rsidRPr="4B07FD26">
        <w:rPr>
          <w:rFonts w:ascii="Times New Roman" w:eastAsia="Times New Roman" w:hAnsi="Times New Roman" w:cs="Times New Roman"/>
          <w:color w:val="000000" w:themeColor="text1"/>
        </w:rPr>
        <w:t>It has been found that the involvement of the stakeholders</w:t>
      </w:r>
      <w:r w:rsidR="7FDD6D2A" w:rsidRPr="4B07FD26">
        <w:rPr>
          <w:rFonts w:ascii="Times New Roman" w:eastAsia="Times New Roman" w:hAnsi="Times New Roman" w:cs="Times New Roman"/>
          <w:color w:val="000000" w:themeColor="text1"/>
        </w:rPr>
        <w:t xml:space="preserve"> </w:t>
      </w:r>
      <w:r w:rsidRPr="4B07FD26">
        <w:rPr>
          <w:rFonts w:ascii="Times New Roman" w:eastAsia="Times New Roman" w:hAnsi="Times New Roman" w:cs="Times New Roman"/>
          <w:color w:val="000000" w:themeColor="text1"/>
        </w:rPr>
        <w:t xml:space="preserve">has guaranteed an indispensable source for the knowledge of the behavioral processes </w:t>
      </w:r>
      <w:r w:rsidR="4A7513DD" w:rsidRPr="4B07FD26">
        <w:rPr>
          <w:rFonts w:ascii="Times New Roman" w:eastAsia="Times New Roman" w:hAnsi="Times New Roman" w:cs="Times New Roman"/>
          <w:color w:val="000000" w:themeColor="text1"/>
        </w:rPr>
        <w:t xml:space="preserve">and </w:t>
      </w:r>
      <w:r w:rsidRPr="4B07FD26">
        <w:rPr>
          <w:rFonts w:ascii="Times New Roman" w:eastAsia="Times New Roman" w:hAnsi="Times New Roman" w:cs="Times New Roman"/>
          <w:color w:val="000000" w:themeColor="text1"/>
        </w:rPr>
        <w:t>the identification of the main problems of the area</w:t>
      </w:r>
      <w:r w:rsidRPr="00574D33">
        <w:rPr>
          <w:rFonts w:ascii="Times New Roman" w:eastAsia="Times New Roman" w:hAnsi="Times New Roman" w:cs="Times New Roman"/>
        </w:rPr>
        <w:t xml:space="preserve">. </w:t>
      </w:r>
      <w:r w:rsidRPr="000321A8">
        <w:rPr>
          <w:rFonts w:ascii="Times New Roman" w:eastAsia="Times New Roman" w:hAnsi="Times New Roman" w:cs="Times New Roman"/>
        </w:rPr>
        <w:t xml:space="preserve">The monitoring of water-related indicators (in this case WAIs) is an essential part of </w:t>
      </w:r>
      <w:r w:rsidR="67BA4088" w:rsidRPr="000321A8">
        <w:rPr>
          <w:rFonts w:ascii="Times New Roman" w:eastAsia="Times New Roman" w:hAnsi="Times New Roman" w:cs="Times New Roman"/>
        </w:rPr>
        <w:t>socio-</w:t>
      </w:r>
      <w:r w:rsidRPr="000321A8">
        <w:rPr>
          <w:rFonts w:ascii="Times New Roman" w:eastAsia="Times New Roman" w:hAnsi="Times New Roman" w:cs="Times New Roman"/>
        </w:rPr>
        <w:t xml:space="preserve">hydrological modelling to assess the outcomes </w:t>
      </w:r>
      <w:r w:rsidR="6BD4CBE5" w:rsidRPr="000321A8">
        <w:rPr>
          <w:rFonts w:ascii="Times New Roman" w:eastAsia="Times New Roman" w:hAnsi="Times New Roman" w:cs="Times New Roman"/>
        </w:rPr>
        <w:t xml:space="preserve">using accepted metrics </w:t>
      </w:r>
      <w:r w:rsidR="0F529676" w:rsidRPr="000321A8">
        <w:rPr>
          <w:rFonts w:ascii="Times New Roman" w:eastAsia="Times New Roman" w:hAnsi="Times New Roman" w:cs="Times New Roman"/>
        </w:rPr>
        <w:t xml:space="preserve">to </w:t>
      </w:r>
      <w:r w:rsidR="4790E543" w:rsidRPr="000321A8">
        <w:rPr>
          <w:rFonts w:ascii="Times New Roman" w:eastAsia="Times New Roman" w:hAnsi="Times New Roman" w:cs="Times New Roman"/>
        </w:rPr>
        <w:t xml:space="preserve">quantify </w:t>
      </w:r>
      <w:r w:rsidR="0F529676" w:rsidRPr="000321A8">
        <w:rPr>
          <w:rFonts w:ascii="Times New Roman" w:eastAsia="Times New Roman" w:hAnsi="Times New Roman" w:cs="Times New Roman"/>
        </w:rPr>
        <w:t xml:space="preserve">the relevance of the </w:t>
      </w:r>
      <w:r w:rsidR="2EB9CF1F" w:rsidRPr="000321A8">
        <w:rPr>
          <w:rFonts w:ascii="Times New Roman" w:eastAsia="Times New Roman" w:hAnsi="Times New Roman" w:cs="Times New Roman"/>
        </w:rPr>
        <w:t xml:space="preserve">baseline conditions and evaluate the effectiveness </w:t>
      </w:r>
      <w:r w:rsidR="4DF77BA7" w:rsidRPr="000321A8">
        <w:rPr>
          <w:rFonts w:ascii="Times New Roman" w:eastAsia="Times New Roman" w:hAnsi="Times New Roman" w:cs="Times New Roman"/>
        </w:rPr>
        <w:t xml:space="preserve">of </w:t>
      </w:r>
      <w:r w:rsidRPr="000321A8">
        <w:rPr>
          <w:rFonts w:ascii="Times New Roman" w:eastAsia="Times New Roman" w:hAnsi="Times New Roman" w:cs="Times New Roman"/>
        </w:rPr>
        <w:t xml:space="preserve">generated scenarios/solutions </w:t>
      </w:r>
      <w:r w:rsidR="59B5AC1B" w:rsidRPr="000321A8">
        <w:rPr>
          <w:rFonts w:ascii="Times New Roman" w:eastAsia="Times New Roman" w:hAnsi="Times New Roman" w:cs="Times New Roman"/>
        </w:rPr>
        <w:t xml:space="preserve">based on </w:t>
      </w:r>
      <w:r w:rsidRPr="000321A8">
        <w:rPr>
          <w:rFonts w:ascii="Times New Roman" w:eastAsia="Times New Roman" w:hAnsi="Times New Roman" w:cs="Times New Roman"/>
        </w:rPr>
        <w:t>the stakeholders</w:t>
      </w:r>
      <w:r w:rsidR="003B56EF">
        <w:rPr>
          <w:rFonts w:ascii="Times New Roman" w:eastAsia="Times New Roman" w:hAnsi="Times New Roman" w:cs="Times New Roman"/>
        </w:rPr>
        <w:t>’</w:t>
      </w:r>
      <w:r w:rsidRPr="000321A8">
        <w:rPr>
          <w:rFonts w:ascii="Times New Roman" w:eastAsia="Times New Roman" w:hAnsi="Times New Roman" w:cs="Times New Roman"/>
        </w:rPr>
        <w:t xml:space="preserve"> </w:t>
      </w:r>
      <w:r w:rsidR="0B7881A8" w:rsidRPr="000321A8">
        <w:rPr>
          <w:rFonts w:ascii="Times New Roman" w:eastAsia="Times New Roman" w:hAnsi="Times New Roman" w:cs="Times New Roman"/>
        </w:rPr>
        <w:t>perception</w:t>
      </w:r>
      <w:r w:rsidRPr="000321A8">
        <w:rPr>
          <w:rFonts w:ascii="Times New Roman" w:eastAsia="Times New Roman" w:hAnsi="Times New Roman" w:cs="Times New Roman"/>
        </w:rPr>
        <w:t xml:space="preserve">. Hence the selection of the indicators is also an important process to represent key challenges and the complexity of the Nexus system. While data availability and quality are a common issue in this research topic, sometimes narrowing the extent of the study, working with stakeholders proved that </w:t>
      </w:r>
      <w:r w:rsidR="15F764E2" w:rsidRPr="000321A8">
        <w:rPr>
          <w:rFonts w:ascii="Times New Roman" w:eastAsia="Times New Roman" w:hAnsi="Times New Roman" w:cs="Times New Roman"/>
        </w:rPr>
        <w:t xml:space="preserve">this knowledge </w:t>
      </w:r>
      <w:r w:rsidRPr="000321A8">
        <w:rPr>
          <w:rFonts w:ascii="Times New Roman" w:eastAsia="Times New Roman" w:hAnsi="Times New Roman" w:cs="Times New Roman"/>
        </w:rPr>
        <w:t xml:space="preserve">can be resolved to some degree with their contributions. </w:t>
      </w:r>
    </w:p>
    <w:p w14:paraId="756C9A76" w14:textId="0D2EB9CF" w:rsidR="003D0180" w:rsidRDefault="003B56EF" w:rsidP="4B07FD26">
      <w:pPr>
        <w:spacing w:before="120"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Additionally, </w:t>
      </w:r>
      <w:r w:rsidR="00332222" w:rsidRPr="4B07FD26">
        <w:rPr>
          <w:rFonts w:ascii="Times New Roman" w:eastAsia="Times New Roman" w:hAnsi="Times New Roman" w:cs="Times New Roman"/>
          <w:color w:val="000000" w:themeColor="text1"/>
        </w:rPr>
        <w:t xml:space="preserve">WEAP allocation and planning modelling has helped to model underground resources in a demand-based </w:t>
      </w:r>
      <w:r>
        <w:rPr>
          <w:rFonts w:ascii="Times New Roman" w:eastAsia="Times New Roman" w:hAnsi="Times New Roman" w:cs="Times New Roman"/>
          <w:color w:val="000000" w:themeColor="text1"/>
        </w:rPr>
        <w:t>approach</w:t>
      </w:r>
      <w:r w:rsidR="00332222" w:rsidRPr="4B07FD26">
        <w:rPr>
          <w:rFonts w:ascii="Times New Roman" w:eastAsia="Times New Roman" w:hAnsi="Times New Roman" w:cs="Times New Roman"/>
          <w:color w:val="000000" w:themeColor="text1"/>
        </w:rPr>
        <w:t xml:space="preserve"> but at the same time has allowed, using quantitative data, to shed light on those </w:t>
      </w:r>
      <w:r w:rsidR="00332222" w:rsidRPr="4B07FD26">
        <w:rPr>
          <w:rFonts w:ascii="Times New Roman" w:eastAsia="Times New Roman" w:hAnsi="Times New Roman" w:cs="Times New Roman"/>
          <w:color w:val="000000" w:themeColor="text1"/>
        </w:rPr>
        <w:lastRenderedPageBreak/>
        <w:t>missing or showing trends worth of attention</w:t>
      </w:r>
      <w:r w:rsidR="00332222" w:rsidRPr="4B07FD26">
        <w:rPr>
          <w:rFonts w:ascii="Times New Roman" w:eastAsia="Times New Roman" w:hAnsi="Times New Roman" w:cs="Times New Roman"/>
          <w:b/>
          <w:bCs/>
          <w:color w:val="000000" w:themeColor="text1"/>
        </w:rPr>
        <w:t xml:space="preserve">. </w:t>
      </w:r>
      <w:r w:rsidR="00332222" w:rsidRPr="4B07FD26">
        <w:rPr>
          <w:rFonts w:ascii="Times New Roman" w:eastAsia="Times New Roman" w:hAnsi="Times New Roman" w:cs="Times New Roman"/>
          <w:color w:val="000000" w:themeColor="text1"/>
        </w:rPr>
        <w:t>Practic</w:t>
      </w:r>
      <w:r w:rsidR="3696B92F" w:rsidRPr="4B07FD26">
        <w:rPr>
          <w:rFonts w:ascii="Times New Roman" w:eastAsia="Times New Roman" w:hAnsi="Times New Roman" w:cs="Times New Roman"/>
          <w:color w:val="000000" w:themeColor="text1"/>
        </w:rPr>
        <w:t>al application</w:t>
      </w:r>
      <w:r w:rsidR="00332222" w:rsidRPr="4B07FD26">
        <w:rPr>
          <w:rFonts w:ascii="Times New Roman" w:eastAsia="Times New Roman" w:hAnsi="Times New Roman" w:cs="Times New Roman"/>
          <w:color w:val="000000" w:themeColor="text1"/>
        </w:rPr>
        <w:t xml:space="preserve"> has shown that </w:t>
      </w:r>
      <w:r w:rsidR="592516C1" w:rsidRPr="4B07FD26">
        <w:rPr>
          <w:rFonts w:ascii="Times New Roman" w:eastAsia="Times New Roman" w:hAnsi="Times New Roman" w:cs="Times New Roman"/>
          <w:color w:val="000000" w:themeColor="text1"/>
        </w:rPr>
        <w:t xml:space="preserve">ecological water </w:t>
      </w:r>
      <w:r w:rsidR="00332222" w:rsidRPr="4B07FD26">
        <w:rPr>
          <w:rFonts w:ascii="Times New Roman" w:eastAsia="Times New Roman" w:hAnsi="Times New Roman" w:cs="Times New Roman"/>
          <w:color w:val="000000" w:themeColor="text1"/>
        </w:rPr>
        <w:t xml:space="preserve">requirements </w:t>
      </w:r>
      <w:r w:rsidR="09A03122" w:rsidRPr="4B07FD26">
        <w:rPr>
          <w:rFonts w:ascii="Times New Roman" w:eastAsia="Times New Roman" w:hAnsi="Times New Roman" w:cs="Times New Roman"/>
          <w:color w:val="000000" w:themeColor="text1"/>
        </w:rPr>
        <w:t xml:space="preserve">of wetland systems </w:t>
      </w:r>
      <w:r w:rsidR="00332222" w:rsidRPr="4B07FD26">
        <w:rPr>
          <w:rFonts w:ascii="Times New Roman" w:eastAsia="Times New Roman" w:hAnsi="Times New Roman" w:cs="Times New Roman"/>
          <w:color w:val="000000" w:themeColor="text1"/>
        </w:rPr>
        <w:t>cannot be considered in a simplistic</w:t>
      </w:r>
      <w:r w:rsidR="00CF0453">
        <w:rPr>
          <w:rFonts w:ascii="Times New Roman" w:eastAsia="Times New Roman" w:hAnsi="Times New Roman" w:cs="Times New Roman"/>
          <w:color w:val="000000" w:themeColor="text1"/>
        </w:rPr>
        <w:t xml:space="preserve"> manner</w:t>
      </w:r>
      <w:r w:rsidR="00332222" w:rsidRPr="4B07FD26">
        <w:rPr>
          <w:rFonts w:ascii="Times New Roman" w:eastAsia="Times New Roman" w:hAnsi="Times New Roman" w:cs="Times New Roman"/>
          <w:color w:val="000000" w:themeColor="text1"/>
        </w:rPr>
        <w:t xml:space="preserve">. The future objectives </w:t>
      </w:r>
      <w:r w:rsidR="459D19D0" w:rsidRPr="4B07FD26">
        <w:rPr>
          <w:rFonts w:ascii="Times New Roman" w:eastAsia="Times New Roman" w:hAnsi="Times New Roman" w:cs="Times New Roman"/>
          <w:color w:val="000000" w:themeColor="text1"/>
        </w:rPr>
        <w:t>of our activity</w:t>
      </w:r>
      <w:r w:rsidR="00332222" w:rsidRPr="4B07FD26">
        <w:rPr>
          <w:rFonts w:ascii="Times New Roman" w:eastAsia="Times New Roman" w:hAnsi="Times New Roman" w:cs="Times New Roman"/>
          <w:color w:val="000000" w:themeColor="text1"/>
        </w:rPr>
        <w:t xml:space="preserve"> include, the implementation of the model focused on the marshland’s hydrological balance and on the marshland’s </w:t>
      </w:r>
      <w:r w:rsidR="00CF0453">
        <w:rPr>
          <w:rFonts w:ascii="Times New Roman" w:eastAsia="Times New Roman" w:hAnsi="Times New Roman" w:cs="Times New Roman"/>
          <w:color w:val="000000" w:themeColor="text1"/>
        </w:rPr>
        <w:t xml:space="preserve">ecological </w:t>
      </w:r>
      <w:r w:rsidR="00332222" w:rsidRPr="4B07FD26">
        <w:rPr>
          <w:rFonts w:ascii="Times New Roman" w:eastAsia="Times New Roman" w:hAnsi="Times New Roman" w:cs="Times New Roman"/>
          <w:color w:val="000000" w:themeColor="text1"/>
        </w:rPr>
        <w:t xml:space="preserve">needs. </w:t>
      </w:r>
      <w:r w:rsidR="3138870F" w:rsidRPr="4B07FD26">
        <w:rPr>
          <w:rFonts w:ascii="Times New Roman" w:eastAsia="Times New Roman" w:hAnsi="Times New Roman" w:cs="Times New Roman"/>
          <w:color w:val="000000" w:themeColor="text1"/>
        </w:rPr>
        <w:t>T</w:t>
      </w:r>
      <w:r w:rsidR="00332222" w:rsidRPr="4B07FD26">
        <w:rPr>
          <w:rFonts w:ascii="Times New Roman" w:eastAsia="Times New Roman" w:hAnsi="Times New Roman" w:cs="Times New Roman"/>
          <w:color w:val="000000" w:themeColor="text1"/>
        </w:rPr>
        <w:t>herefore</w:t>
      </w:r>
      <w:r>
        <w:rPr>
          <w:rFonts w:ascii="Times New Roman" w:eastAsia="Times New Roman" w:hAnsi="Times New Roman" w:cs="Times New Roman"/>
          <w:color w:val="000000" w:themeColor="text1"/>
        </w:rPr>
        <w:t>,</w:t>
      </w:r>
      <w:r w:rsidR="00332222" w:rsidRPr="4B07FD26">
        <w:rPr>
          <w:rFonts w:ascii="Times New Roman" w:eastAsia="Times New Roman" w:hAnsi="Times New Roman" w:cs="Times New Roman"/>
          <w:color w:val="000000" w:themeColor="text1"/>
        </w:rPr>
        <w:t xml:space="preserve"> the actual implementation of the scenarios described in this work</w:t>
      </w:r>
      <w:r w:rsidR="2EED7E49" w:rsidRPr="4B07FD26">
        <w:rPr>
          <w:rFonts w:ascii="Times New Roman" w:eastAsia="Times New Roman" w:hAnsi="Times New Roman" w:cs="Times New Roman"/>
          <w:color w:val="000000" w:themeColor="text1"/>
        </w:rPr>
        <w:t xml:space="preserve"> will also include the suitable representation of wetland dynamics in order to </w:t>
      </w:r>
      <w:r w:rsidR="574B76F4" w:rsidRPr="4B07FD26">
        <w:rPr>
          <w:rFonts w:ascii="Times New Roman" w:eastAsia="Times New Roman" w:hAnsi="Times New Roman" w:cs="Times New Roman"/>
          <w:color w:val="000000" w:themeColor="text1"/>
        </w:rPr>
        <w:t xml:space="preserve">evaluate </w:t>
      </w:r>
      <w:r w:rsidR="00332222" w:rsidRPr="4B07FD26">
        <w:rPr>
          <w:rFonts w:ascii="Times New Roman" w:eastAsia="Times New Roman" w:hAnsi="Times New Roman" w:cs="Times New Roman"/>
          <w:color w:val="000000" w:themeColor="text1"/>
        </w:rPr>
        <w:t>different forc</w:t>
      </w:r>
      <w:r>
        <w:rPr>
          <w:rFonts w:ascii="Times New Roman" w:eastAsia="Times New Roman" w:hAnsi="Times New Roman" w:cs="Times New Roman"/>
          <w:color w:val="000000" w:themeColor="text1"/>
        </w:rPr>
        <w:t>es</w:t>
      </w:r>
      <w:r w:rsidR="00332222" w:rsidRPr="4B07FD26">
        <w:rPr>
          <w:rFonts w:ascii="Times New Roman" w:eastAsia="Times New Roman" w:hAnsi="Times New Roman" w:cs="Times New Roman"/>
          <w:color w:val="000000" w:themeColor="text1"/>
        </w:rPr>
        <w:t xml:space="preserve"> </w:t>
      </w:r>
      <w:r w:rsidR="08C810CB" w:rsidRPr="4B07FD26">
        <w:rPr>
          <w:rFonts w:ascii="Times New Roman" w:eastAsia="Times New Roman" w:hAnsi="Times New Roman" w:cs="Times New Roman"/>
          <w:color w:val="000000" w:themeColor="text1"/>
        </w:rPr>
        <w:t>and</w:t>
      </w:r>
      <w:r w:rsidR="00332222" w:rsidRPr="4B07FD26">
        <w:rPr>
          <w:rFonts w:ascii="Times New Roman" w:eastAsia="Times New Roman" w:hAnsi="Times New Roman" w:cs="Times New Roman"/>
          <w:color w:val="000000" w:themeColor="text1"/>
        </w:rPr>
        <w:t xml:space="preserve"> different solutions</w:t>
      </w:r>
      <w:r w:rsidR="4F2FDED9" w:rsidRPr="4B07FD26">
        <w:rPr>
          <w:rFonts w:ascii="Times New Roman" w:eastAsia="Times New Roman" w:hAnsi="Times New Roman" w:cs="Times New Roman"/>
          <w:color w:val="000000" w:themeColor="text1"/>
        </w:rPr>
        <w:t xml:space="preserve"> r</w:t>
      </w:r>
      <w:r w:rsidR="00332222" w:rsidRPr="4B07FD26">
        <w:rPr>
          <w:rFonts w:ascii="Times New Roman" w:eastAsia="Times New Roman" w:hAnsi="Times New Roman" w:cs="Times New Roman"/>
          <w:color w:val="000000" w:themeColor="text1"/>
        </w:rPr>
        <w:t>elated to the baseline understanding of the Nexus and an improved Nexus-based water management</w:t>
      </w:r>
      <w:r w:rsidR="00CF0453">
        <w:rPr>
          <w:rFonts w:ascii="Times New Roman" w:eastAsia="Times New Roman" w:hAnsi="Times New Roman" w:cs="Times New Roman"/>
          <w:color w:val="000000" w:themeColor="text1"/>
        </w:rPr>
        <w:t xml:space="preserve"> to be implemented in future years</w:t>
      </w:r>
      <w:r w:rsidR="00332222" w:rsidRPr="4B07FD26">
        <w:rPr>
          <w:rFonts w:ascii="Times New Roman" w:eastAsia="Times New Roman" w:hAnsi="Times New Roman" w:cs="Times New Roman"/>
          <w:color w:val="000000" w:themeColor="text1"/>
        </w:rPr>
        <w:t>.</w:t>
      </w:r>
    </w:p>
    <w:p w14:paraId="3EAA2C01" w14:textId="77777777" w:rsidR="002B7BBB" w:rsidRDefault="002B7BBB">
      <w:pPr>
        <w:pBdr>
          <w:top w:val="nil"/>
          <w:left w:val="nil"/>
          <w:bottom w:val="nil"/>
          <w:right w:val="nil"/>
          <w:between w:val="nil"/>
        </w:pBdr>
        <w:tabs>
          <w:tab w:val="left" w:pos="567"/>
          <w:tab w:val="left" w:pos="1843"/>
        </w:tabs>
        <w:spacing w:before="120" w:after="0" w:line="240" w:lineRule="auto"/>
        <w:ind w:left="360" w:hanging="360"/>
        <w:jc w:val="both"/>
        <w:rPr>
          <w:rFonts w:ascii="Times New Roman" w:eastAsia="Times New Roman" w:hAnsi="Times New Roman" w:cs="Times New Roman"/>
          <w:b/>
          <w:color w:val="000000"/>
        </w:rPr>
      </w:pPr>
    </w:p>
    <w:p w14:paraId="08DC5052" w14:textId="77777777" w:rsidR="002B7BBB" w:rsidRDefault="002B7BBB">
      <w:pPr>
        <w:pBdr>
          <w:top w:val="nil"/>
          <w:left w:val="nil"/>
          <w:bottom w:val="nil"/>
          <w:right w:val="nil"/>
          <w:between w:val="nil"/>
        </w:pBdr>
        <w:spacing w:before="120" w:after="0" w:line="240" w:lineRule="auto"/>
        <w:rPr>
          <w:rFonts w:ascii="Times New Roman" w:eastAsia="Times New Roman" w:hAnsi="Times New Roman" w:cs="Times New Roman"/>
          <w:b/>
          <w:color w:val="000000"/>
          <w:sz w:val="18"/>
          <w:szCs w:val="18"/>
        </w:rPr>
      </w:pPr>
    </w:p>
    <w:p w14:paraId="48FD2CFD" w14:textId="5900A58F" w:rsidR="003D0180" w:rsidRDefault="00332222">
      <w:pPr>
        <w:pBdr>
          <w:top w:val="nil"/>
          <w:left w:val="nil"/>
          <w:bottom w:val="nil"/>
          <w:right w:val="nil"/>
          <w:between w:val="nil"/>
        </w:pBdr>
        <w:spacing w:before="120"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Acknowledgements </w:t>
      </w:r>
    </w:p>
    <w:p w14:paraId="2E287BF5" w14:textId="77777777" w:rsidR="003D0180" w:rsidRDefault="00332222">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present work has been funded by the LENSES project (PRIMA Programme, GA n°2041). This paper and the content included do not represent the opinion of PRIMA Foundation, PRIMA Foundation is not responsible for any use that might be made of its content. </w:t>
      </w:r>
    </w:p>
    <w:p w14:paraId="459C7026" w14:textId="77777777" w:rsidR="003D0180" w:rsidRDefault="00332222" w:rsidP="4B07FD26">
      <w:pPr>
        <w:pBdr>
          <w:top w:val="nil"/>
          <w:left w:val="nil"/>
          <w:bottom w:val="nil"/>
          <w:right w:val="nil"/>
          <w:between w:val="nil"/>
        </w:pBdr>
        <w:spacing w:before="120" w:after="120" w:line="240" w:lineRule="auto"/>
        <w:rPr>
          <w:rFonts w:ascii="Times New Roman" w:eastAsia="Times New Roman" w:hAnsi="Times New Roman" w:cs="Times New Roman"/>
          <w:b/>
          <w:bCs/>
          <w:color w:val="000000"/>
          <w:sz w:val="18"/>
          <w:szCs w:val="18"/>
          <w:highlight w:val="white"/>
        </w:rPr>
      </w:pPr>
      <w:commentRangeStart w:id="3"/>
      <w:r w:rsidRPr="4B07FD26">
        <w:rPr>
          <w:rFonts w:ascii="Times New Roman" w:eastAsia="Times New Roman" w:hAnsi="Times New Roman" w:cs="Times New Roman"/>
          <w:b/>
          <w:bCs/>
          <w:color w:val="000000" w:themeColor="text1"/>
          <w:sz w:val="18"/>
          <w:szCs w:val="18"/>
          <w:highlight w:val="white"/>
        </w:rPr>
        <w:t xml:space="preserve">References </w:t>
      </w:r>
      <w:commentRangeEnd w:id="3"/>
      <w:r>
        <w:commentReference w:id="3"/>
      </w:r>
    </w:p>
    <w:p w14:paraId="683BEDC8"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Aldaya MM, Garcia Novo F, Ramòn Llamas M (2010) Incorporating the Water Footprint and Environmental Water Requirements into Policy: reflections from the Doñana Region (Spain), CRC Press, 400 pp</w:t>
      </w:r>
    </w:p>
    <w:p w14:paraId="2EBDA2DC" w14:textId="77777777" w:rsidR="003D0180" w:rsidRDefault="00332222" w:rsidP="4B07FD26">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sidRPr="4B07FD26">
        <w:rPr>
          <w:rFonts w:ascii="Times New Roman" w:eastAsia="Times New Roman" w:hAnsi="Times New Roman" w:cs="Times New Roman"/>
          <w:color w:val="000000" w:themeColor="text1"/>
          <w:sz w:val="18"/>
          <w:szCs w:val="18"/>
          <w:highlight w:val="white"/>
        </w:rPr>
        <w:t>Buytaert W, De Bièvre B (2012) Water for Cities: The Impact of Climate change and Demographic Growth in the Tropical Andes, Water Resources Research, 48 (8):8503</w:t>
      </w:r>
    </w:p>
    <w:p w14:paraId="75BA731F" w14:textId="2BB78559" w:rsidR="4DDB993D" w:rsidRDefault="4DDB993D" w:rsidP="4B07FD26">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es-ES"/>
        </w:rPr>
      </w:pPr>
      <w:r w:rsidRPr="0028799E">
        <w:rPr>
          <w:rFonts w:ascii="Times New Roman" w:eastAsia="Times New Roman" w:hAnsi="Times New Roman" w:cs="Times New Roman"/>
          <w:sz w:val="18"/>
          <w:szCs w:val="18"/>
          <w:lang w:val="it-IT"/>
        </w:rPr>
        <w:t>Confederaciòn Hidrografica del Guadalquivir, Ministerio para la Transiciòn Ecològica y el Reto Demografico</w:t>
      </w:r>
      <w:r w:rsidRPr="4B07FD26">
        <w:rPr>
          <w:rFonts w:ascii="Times New Roman" w:eastAsia="Times New Roman" w:hAnsi="Times New Roman" w:cs="Times New Roman"/>
          <w:sz w:val="18"/>
          <w:szCs w:val="18"/>
          <w:lang w:val="es-ES"/>
        </w:rPr>
        <w:t xml:space="preserve">  (CHG) (2023)Plan Hidrologico de la Demarcaciòn Hidrogràfica del Guadalquivir 2022-2027</w:t>
      </w:r>
    </w:p>
    <w:p w14:paraId="138388CA" w14:textId="77777777" w:rsidR="003D0180" w:rsidRDefault="00332222" w:rsidP="4B07FD26">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sidRPr="4B07FD26">
        <w:rPr>
          <w:rFonts w:ascii="Times New Roman" w:eastAsia="Times New Roman" w:hAnsi="Times New Roman" w:cs="Times New Roman"/>
          <w:color w:val="000000" w:themeColor="text1"/>
          <w:sz w:val="18"/>
          <w:szCs w:val="18"/>
          <w:highlight w:val="white"/>
        </w:rPr>
        <w:t>De Roo A, Trichakis I, Bisselink B, Gelati E, Pistocchi A, Gawlik BM (2021) The Water-Energy-Food-Ecosystem Nexus in the Mediterranean: Current Issues and Future Challenges, Frontiers in Climate, 3:782553</w:t>
      </w:r>
    </w:p>
    <w:p w14:paraId="6DE4EF6A" w14:textId="4C58256A" w:rsidR="6981F170" w:rsidRDefault="6981F170" w:rsidP="4B07FD2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18"/>
          <w:szCs w:val="18"/>
          <w:highlight w:val="white"/>
        </w:rPr>
      </w:pPr>
      <w:r w:rsidRPr="4B07FD26">
        <w:rPr>
          <w:rFonts w:ascii="Times New Roman" w:eastAsia="Times New Roman" w:hAnsi="Times New Roman" w:cs="Times New Roman"/>
          <w:color w:val="000000" w:themeColor="text1"/>
          <w:sz w:val="18"/>
          <w:szCs w:val="18"/>
          <w:highlight w:val="white"/>
        </w:rPr>
        <w:t>Diaz-paniagua C, Aragonés D (2015) Permanent and temporary ponds in Doñana National Pa</w:t>
      </w:r>
      <w:r w:rsidR="79352C35" w:rsidRPr="4B07FD26">
        <w:rPr>
          <w:rFonts w:ascii="Times New Roman" w:eastAsia="Times New Roman" w:hAnsi="Times New Roman" w:cs="Times New Roman"/>
          <w:color w:val="000000" w:themeColor="text1"/>
          <w:sz w:val="18"/>
          <w:szCs w:val="18"/>
          <w:highlight w:val="white"/>
        </w:rPr>
        <w:t>rk (SW Spain) are threatened by desiccation, Limnetica, 34 (2), 407-424</w:t>
      </w:r>
    </w:p>
    <w:p w14:paraId="72FFB448"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EEA (2022). European Environmental Agency. Indicators, https://www.eea.europa.eu/ims</w:t>
      </w:r>
    </w:p>
    <w:p w14:paraId="486C9A57"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Erwin KL (2008) Wetlands and global climate change: the role of wetland restoration in a changing world, 17, 71-84, (2009)</w:t>
      </w:r>
    </w:p>
    <w:p w14:paraId="2C4B4FAF"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Falkenmark M, Wang-Erlansson L, Rockstrom J (2018) Understanding of water resilience in the Anthropocene, Journal of Hydrology X, 2 (2019) 100009</w:t>
      </w:r>
    </w:p>
    <w:p w14:paraId="4E4C1FB0"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Gallant AL (2015) The Challenges of Remote Monitoring of Wetlands, Remote Sensing, 7(8), 10938-10950</w:t>
      </w:r>
    </w:p>
    <w:p w14:paraId="72D503F6"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Garcia Novo F, Alonso Vizcaino EM, Marin Cabrera C (2005) Doñana: water and biosphere, Doñana 2005 Project, Guadalquivir Hydrologic basin Authority,365 pp</w:t>
      </w:r>
    </w:p>
    <w:p w14:paraId="0F8E7C0A" w14:textId="77777777" w:rsidR="003D0180" w:rsidRDefault="00332222">
      <w:pPr>
        <w:spacing w:after="0" w:line="240" w:lineRule="auto"/>
        <w:rPr>
          <w:rFonts w:ascii="Open Sans" w:eastAsia="Open Sans" w:hAnsi="Open Sans" w:cs="Open Sans"/>
          <w:sz w:val="18"/>
          <w:szCs w:val="18"/>
        </w:rPr>
      </w:pPr>
      <w:r w:rsidRPr="006A3931">
        <w:rPr>
          <w:rFonts w:ascii="Times New Roman" w:eastAsia="Times New Roman" w:hAnsi="Times New Roman" w:cs="Times New Roman"/>
          <w:sz w:val="18"/>
          <w:szCs w:val="18"/>
          <w:lang w:val="de-DE"/>
        </w:rPr>
        <w:t xml:space="preserve">Gil </w:t>
      </w:r>
      <w:proofErr w:type="spellStart"/>
      <w:r w:rsidRPr="006A3931">
        <w:rPr>
          <w:rFonts w:ascii="Times New Roman" w:eastAsia="Times New Roman" w:hAnsi="Times New Roman" w:cs="Times New Roman"/>
          <w:sz w:val="18"/>
          <w:szCs w:val="18"/>
          <w:lang w:val="de-DE"/>
        </w:rPr>
        <w:t>Gil</w:t>
      </w:r>
      <w:proofErr w:type="spellEnd"/>
      <w:r w:rsidRPr="006A3931">
        <w:rPr>
          <w:rFonts w:ascii="Times New Roman" w:eastAsia="Times New Roman" w:hAnsi="Times New Roman" w:cs="Times New Roman"/>
          <w:sz w:val="18"/>
          <w:szCs w:val="18"/>
          <w:lang w:val="de-DE"/>
        </w:rPr>
        <w:t xml:space="preserve"> T, Schmidt G et al. </w:t>
      </w:r>
      <w:r>
        <w:rPr>
          <w:rFonts w:ascii="Times New Roman" w:eastAsia="Times New Roman" w:hAnsi="Times New Roman" w:cs="Times New Roman"/>
          <w:sz w:val="18"/>
          <w:szCs w:val="18"/>
        </w:rPr>
        <w:t>(2024) Science to save Doñana.Evidence of its ecological degradation in 2024, WWF Spain</w:t>
      </w:r>
    </w:p>
    <w:p w14:paraId="4BEC07A0" w14:textId="1CF228D0" w:rsidR="003D0180" w:rsidRDefault="00332222">
      <w:pPr>
        <w:spacing w:after="0" w:line="240" w:lineRule="auto"/>
        <w:rPr>
          <w:rFonts w:ascii="Times New Roman" w:eastAsia="Times New Roman" w:hAnsi="Times New Roman" w:cs="Times New Roman"/>
          <w:sz w:val="18"/>
          <w:szCs w:val="18"/>
        </w:rPr>
      </w:pPr>
      <w:r w:rsidRPr="4B07FD26">
        <w:rPr>
          <w:rFonts w:ascii="Times New Roman" w:eastAsia="Times New Roman" w:hAnsi="Times New Roman" w:cs="Times New Roman"/>
          <w:sz w:val="18"/>
          <w:szCs w:val="18"/>
        </w:rPr>
        <w:t>Green AJ, Bustamante J, Janss GFE, Fernandez-Zamudio R, Dìaz-Paniagua C (2016) The Wetland Book, Springer</w:t>
      </w:r>
    </w:p>
    <w:p w14:paraId="531CEB8A" w14:textId="6767F111" w:rsidR="52D7A17F" w:rsidRDefault="52D7A17F" w:rsidP="4B07FD26">
      <w:pPr>
        <w:spacing w:after="0" w:line="240" w:lineRule="auto"/>
        <w:rPr>
          <w:rFonts w:ascii="Times New Roman" w:eastAsia="Times New Roman" w:hAnsi="Times New Roman" w:cs="Times New Roman"/>
          <w:color w:val="222222"/>
          <w:sz w:val="18"/>
          <w:szCs w:val="18"/>
        </w:rPr>
      </w:pPr>
      <w:r w:rsidRPr="0028799E">
        <w:rPr>
          <w:rFonts w:ascii="Times New Roman" w:eastAsia="Times New Roman" w:hAnsi="Times New Roman" w:cs="Times New Roman"/>
          <w:color w:val="222222"/>
          <w:sz w:val="18"/>
          <w:szCs w:val="18"/>
          <w:lang w:val="it-IT"/>
        </w:rPr>
        <w:t xml:space="preserve">Green AJ, Guardiola-Albert C, Bravo-Utrera MÁ </w:t>
      </w:r>
      <w:r w:rsidRPr="0028799E">
        <w:rPr>
          <w:rFonts w:ascii="Times New Roman" w:eastAsia="Times New Roman" w:hAnsi="Times New Roman" w:cs="Times New Roman"/>
          <w:i/>
          <w:iCs/>
          <w:color w:val="222222"/>
          <w:sz w:val="18"/>
          <w:szCs w:val="18"/>
          <w:lang w:val="it-IT"/>
        </w:rPr>
        <w:t>et al.</w:t>
      </w:r>
      <w:r w:rsidRPr="0028799E">
        <w:rPr>
          <w:rFonts w:ascii="Times New Roman" w:eastAsia="Times New Roman" w:hAnsi="Times New Roman" w:cs="Times New Roman"/>
          <w:color w:val="222222"/>
          <w:sz w:val="18"/>
          <w:szCs w:val="18"/>
          <w:lang w:val="it-IT"/>
        </w:rPr>
        <w:t xml:space="preserve"> </w:t>
      </w:r>
      <w:r w:rsidR="03E622A0" w:rsidRPr="4B07FD26">
        <w:rPr>
          <w:rFonts w:ascii="Times New Roman" w:eastAsia="Times New Roman" w:hAnsi="Times New Roman" w:cs="Times New Roman"/>
          <w:color w:val="222222"/>
          <w:sz w:val="18"/>
          <w:szCs w:val="18"/>
        </w:rPr>
        <w:t xml:space="preserve">(2024) </w:t>
      </w:r>
      <w:r w:rsidRPr="0028799E">
        <w:rPr>
          <w:rFonts w:ascii="Times New Roman" w:eastAsia="Times New Roman" w:hAnsi="Times New Roman" w:cs="Times New Roman"/>
          <w:color w:val="222222"/>
          <w:sz w:val="18"/>
          <w:szCs w:val="18"/>
        </w:rPr>
        <w:t xml:space="preserve">Groundwater Abstraction has Caused Extensive Ecological Damage to the Doñana World Heritage Site, Spain. </w:t>
      </w:r>
      <w:r w:rsidRPr="0028799E">
        <w:rPr>
          <w:rFonts w:ascii="Times New Roman" w:eastAsia="Times New Roman" w:hAnsi="Times New Roman" w:cs="Times New Roman"/>
          <w:i/>
          <w:iCs/>
          <w:color w:val="222222"/>
          <w:sz w:val="18"/>
          <w:szCs w:val="18"/>
        </w:rPr>
        <w:t>Wetlands</w:t>
      </w:r>
      <w:r w:rsidRPr="0028799E">
        <w:rPr>
          <w:rFonts w:ascii="Times New Roman" w:eastAsia="Times New Roman" w:hAnsi="Times New Roman" w:cs="Times New Roman"/>
          <w:color w:val="222222"/>
          <w:sz w:val="18"/>
          <w:szCs w:val="18"/>
        </w:rPr>
        <w:t xml:space="preserve"> </w:t>
      </w:r>
      <w:r w:rsidRPr="0028799E">
        <w:rPr>
          <w:rFonts w:ascii="Times New Roman" w:eastAsia="Times New Roman" w:hAnsi="Times New Roman" w:cs="Times New Roman"/>
          <w:b/>
          <w:bCs/>
          <w:color w:val="222222"/>
          <w:sz w:val="18"/>
          <w:szCs w:val="18"/>
        </w:rPr>
        <w:t>44</w:t>
      </w:r>
      <w:r w:rsidRPr="0028799E">
        <w:rPr>
          <w:rFonts w:ascii="Times New Roman" w:eastAsia="Times New Roman" w:hAnsi="Times New Roman" w:cs="Times New Roman"/>
          <w:color w:val="222222"/>
          <w:sz w:val="18"/>
          <w:szCs w:val="18"/>
        </w:rPr>
        <w:t xml:space="preserve">, 20 </w:t>
      </w:r>
    </w:p>
    <w:p w14:paraId="34BD22D5" w14:textId="6BCC73DB" w:rsidR="00C31832" w:rsidRDefault="00C31832" w:rsidP="4B07FD26">
      <w:pPr>
        <w:spacing w:after="0" w:line="240" w:lineRule="auto"/>
        <w:rPr>
          <w:rFonts w:ascii="Times New Roman" w:eastAsia="Times New Roman" w:hAnsi="Times New Roman" w:cs="Times New Roman"/>
          <w:sz w:val="18"/>
          <w:szCs w:val="18"/>
          <w:lang w:val="pl"/>
        </w:rPr>
      </w:pPr>
      <w:r w:rsidRPr="00C31832">
        <w:rPr>
          <w:rFonts w:ascii="Times New Roman" w:eastAsia="Times New Roman" w:hAnsi="Times New Roman" w:cs="Times New Roman"/>
          <w:sz w:val="18"/>
          <w:szCs w:val="18"/>
          <w:lang w:val="pl"/>
        </w:rPr>
        <w:t>Hamdan ANA, Almuktar S, Scholz M. Rainfall-Runoff Modeling Using the HEC-HMS Model for the Al-Adhaim River Catchment, Northern Iraq. Hydrology. 2021; 8(2):58. https://doi.org/10.3390/hydrology8020058</w:t>
      </w:r>
    </w:p>
    <w:p w14:paraId="75B61860" w14:textId="0C25E597" w:rsidR="12F4A7C0" w:rsidRDefault="12F4A7C0" w:rsidP="4B07FD26">
      <w:pPr>
        <w:spacing w:after="0" w:line="240" w:lineRule="auto"/>
        <w:rPr>
          <w:rFonts w:ascii="Times New Roman" w:eastAsia="Times New Roman" w:hAnsi="Times New Roman" w:cs="Times New Roman"/>
          <w:color w:val="000000" w:themeColor="text1"/>
          <w:sz w:val="18"/>
          <w:szCs w:val="18"/>
          <w:highlight w:val="white"/>
        </w:rPr>
      </w:pPr>
      <w:r w:rsidRPr="0028799E">
        <w:rPr>
          <w:rFonts w:ascii="Times New Roman" w:eastAsia="Times New Roman" w:hAnsi="Times New Roman" w:cs="Times New Roman"/>
          <w:sz w:val="18"/>
          <w:szCs w:val="18"/>
          <w:lang w:val="pl"/>
        </w:rPr>
        <w:t>Karamouz M, Barkhordari H, Ebrahimi E (2021) Dynamics of Water Allocation: tradeoffs between allocator’s and farmers’ benefit of irrigation practices, Journal of Irrigation and Drainage Engineering Online 147(6)</w:t>
      </w:r>
    </w:p>
    <w:p w14:paraId="0FA72EB6" w14:textId="6AA47E9D" w:rsidR="0299F717" w:rsidRDefault="0299F717" w:rsidP="4B07FD26">
      <w:pPr>
        <w:spacing w:after="0" w:line="240" w:lineRule="auto"/>
        <w:rPr>
          <w:rFonts w:ascii="Times New Roman" w:eastAsia="Times New Roman" w:hAnsi="Times New Roman" w:cs="Times New Roman"/>
          <w:sz w:val="18"/>
          <w:szCs w:val="18"/>
        </w:rPr>
      </w:pPr>
      <w:r w:rsidRPr="4B07FD26">
        <w:rPr>
          <w:rFonts w:ascii="Times New Roman" w:eastAsia="Times New Roman" w:hAnsi="Times New Roman" w:cs="Times New Roman"/>
          <w:sz w:val="18"/>
          <w:szCs w:val="18"/>
        </w:rPr>
        <w:t xml:space="preserve">Lee O, </w:t>
      </w:r>
      <w:r w:rsidR="22B22698" w:rsidRPr="4B07FD26">
        <w:rPr>
          <w:rFonts w:ascii="Times New Roman" w:eastAsia="Times New Roman" w:hAnsi="Times New Roman" w:cs="Times New Roman"/>
          <w:sz w:val="18"/>
          <w:szCs w:val="18"/>
        </w:rPr>
        <w:t xml:space="preserve">Kim HS, Kim S (2020) Hydrological simple water balance modeling for increasing geographically isolated doline wetland functions </w:t>
      </w:r>
      <w:r w:rsidR="5E2ADD24" w:rsidRPr="4B07FD26">
        <w:rPr>
          <w:rFonts w:ascii="Times New Roman" w:eastAsia="Times New Roman" w:hAnsi="Times New Roman" w:cs="Times New Roman"/>
          <w:sz w:val="18"/>
          <w:szCs w:val="18"/>
        </w:rPr>
        <w:t>and its application to climate change, Ecological Engineering,149,105812</w:t>
      </w:r>
    </w:p>
    <w:p w14:paraId="4437A6A5" w14:textId="2DE4756B" w:rsidR="0120EBF1" w:rsidRDefault="0120EBF1" w:rsidP="4B07FD26">
      <w:pPr>
        <w:spacing w:after="0" w:line="240" w:lineRule="auto"/>
        <w:rPr>
          <w:rFonts w:ascii="Times New Roman" w:eastAsia="Times New Roman" w:hAnsi="Times New Roman" w:cs="Times New Roman"/>
          <w:color w:val="000000" w:themeColor="text1"/>
          <w:sz w:val="18"/>
          <w:szCs w:val="18"/>
          <w:highlight w:val="white"/>
        </w:rPr>
      </w:pPr>
      <w:r w:rsidRPr="4B07FD26">
        <w:rPr>
          <w:rFonts w:ascii="Times New Roman" w:eastAsia="Times New Roman" w:hAnsi="Times New Roman" w:cs="Times New Roman"/>
          <w:sz w:val="18"/>
          <w:szCs w:val="18"/>
        </w:rPr>
        <w:t>Naranjo- Fernandez N, Guardiola Albert C, Montero-Gonzalez E (2018) Applying 3D</w:t>
      </w:r>
      <w:r w:rsidR="28D12B79" w:rsidRPr="4B07FD26">
        <w:rPr>
          <w:rFonts w:ascii="Times New Roman" w:eastAsia="Times New Roman" w:hAnsi="Times New Roman" w:cs="Times New Roman"/>
          <w:sz w:val="18"/>
          <w:szCs w:val="18"/>
        </w:rPr>
        <w:t xml:space="preserve"> geostatistical Simulation to Improve the Groundwater Management Modelling of Sedimentary Aquifers: The Case of </w:t>
      </w:r>
      <w:r w:rsidR="28D12B79" w:rsidRPr="4B07FD26">
        <w:rPr>
          <w:rFonts w:ascii="Times New Roman" w:eastAsia="Times New Roman" w:hAnsi="Times New Roman" w:cs="Times New Roman"/>
          <w:color w:val="000000" w:themeColor="text1"/>
          <w:sz w:val="18"/>
          <w:szCs w:val="18"/>
          <w:highlight w:val="white"/>
        </w:rPr>
        <w:t>Doñana (Southwest Spain)</w:t>
      </w:r>
      <w:r w:rsidR="6088D4D3" w:rsidRPr="4B07FD26">
        <w:rPr>
          <w:rFonts w:ascii="Times New Roman" w:eastAsia="Times New Roman" w:hAnsi="Times New Roman" w:cs="Times New Roman"/>
          <w:color w:val="000000" w:themeColor="text1"/>
          <w:sz w:val="18"/>
          <w:szCs w:val="18"/>
          <w:highlight w:val="white"/>
        </w:rPr>
        <w:t>, Water 2019,11,39</w:t>
      </w:r>
    </w:p>
    <w:p w14:paraId="4123309E" w14:textId="128029C7" w:rsidR="6088D4D3" w:rsidRDefault="6088D4D3" w:rsidP="4B07FD26">
      <w:pPr>
        <w:spacing w:after="0" w:line="240" w:lineRule="auto"/>
        <w:rPr>
          <w:rFonts w:ascii="Times New Roman" w:eastAsia="Times New Roman" w:hAnsi="Times New Roman" w:cs="Times New Roman"/>
          <w:color w:val="000000" w:themeColor="text1"/>
          <w:sz w:val="18"/>
          <w:szCs w:val="18"/>
          <w:highlight w:val="white"/>
          <w:lang w:val="es-ES"/>
        </w:rPr>
      </w:pPr>
      <w:r w:rsidRPr="4B07FD26">
        <w:rPr>
          <w:rFonts w:ascii="Times New Roman" w:eastAsia="Times New Roman" w:hAnsi="Times New Roman" w:cs="Times New Roman"/>
          <w:color w:val="000000" w:themeColor="text1"/>
          <w:sz w:val="18"/>
          <w:szCs w:val="18"/>
          <w:highlight w:val="white"/>
          <w:lang w:val="es-ES"/>
        </w:rPr>
        <w:t>Naranjo-Fernandez N, Guardiola- Albert C, Aguilera H, Serrano-Hidalgo C, Montero-Gonzale</w:t>
      </w:r>
      <w:r w:rsidR="4DD20699" w:rsidRPr="4B07FD26">
        <w:rPr>
          <w:rFonts w:ascii="Times New Roman" w:eastAsia="Times New Roman" w:hAnsi="Times New Roman" w:cs="Times New Roman"/>
          <w:color w:val="000000" w:themeColor="text1"/>
          <w:sz w:val="18"/>
          <w:szCs w:val="18"/>
          <w:highlight w:val="white"/>
          <w:lang w:val="es-ES"/>
        </w:rPr>
        <w:t xml:space="preserve">z E (2020) Clustering Groundwater Level Time Series of the Exploited Almonte-Marismas Aquifer in Southwest Spain, Water 2020, </w:t>
      </w:r>
      <w:r w:rsidR="4104D9D1" w:rsidRPr="4B07FD26">
        <w:rPr>
          <w:rFonts w:ascii="Times New Roman" w:eastAsia="Times New Roman" w:hAnsi="Times New Roman" w:cs="Times New Roman"/>
          <w:color w:val="000000" w:themeColor="text1"/>
          <w:sz w:val="18"/>
          <w:szCs w:val="18"/>
          <w:highlight w:val="white"/>
          <w:lang w:val="es-ES"/>
        </w:rPr>
        <w:t>12,1063</w:t>
      </w:r>
    </w:p>
    <w:p w14:paraId="50E65A76" w14:textId="77777777" w:rsidR="003D0180" w:rsidRDefault="00332222">
      <w:pPr>
        <w:spacing w:after="0" w:line="240" w:lineRule="auto"/>
        <w:rPr>
          <w:rFonts w:ascii="Times New Roman" w:eastAsia="Times New Roman" w:hAnsi="Times New Roman" w:cs="Times New Roman"/>
          <w:sz w:val="18"/>
          <w:szCs w:val="18"/>
        </w:rPr>
      </w:pPr>
      <w:r w:rsidRPr="4B07FD26">
        <w:rPr>
          <w:rFonts w:ascii="Times New Roman" w:eastAsia="Times New Roman" w:hAnsi="Times New Roman" w:cs="Times New Roman"/>
          <w:sz w:val="18"/>
          <w:szCs w:val="18"/>
        </w:rPr>
        <w:t>Portoghese I, D’Agostino D, Giordano R, Scardigno A, Apollonio C, Vurro M (2013) An integrated modelling tool to evaluate the acceptability of irrigation constraint measures for groundwater protection, Environmental Modelling &amp; Software 46 (2013) 90-103</w:t>
      </w:r>
    </w:p>
    <w:p w14:paraId="21988DD6" w14:textId="3A2C5CEB" w:rsidR="00652D83" w:rsidRDefault="00652D83">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sidRPr="00652D83">
        <w:rPr>
          <w:rFonts w:ascii="Times New Roman" w:eastAsia="Times New Roman" w:hAnsi="Times New Roman" w:cs="Times New Roman"/>
          <w:color w:val="000000"/>
          <w:sz w:val="18"/>
          <w:szCs w:val="18"/>
        </w:rPr>
        <w:t>Sahu, M.K., Shwetha, H.R. &amp; Dwarakish, G.S. State-of-the-art hydrological models and application of the HEC-HMS model: a review. Model. Earth Syst. Environ. 9, 3029–3051 (2023). https://doi.org/10.1007/s40808-023-01704-7</w:t>
      </w:r>
    </w:p>
    <w:p w14:paraId="3A9BFDD5" w14:textId="332EB312"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Sušnik J, Masia S, Indriksone D, Bremere I, Vamvakeridou-Lydroudia L (2021) System dynamics modelling to explore the impacts of policies on the water-energy-food-land-climate nexus in Latvia, Science of Total Environment, 775, 0048-9697</w:t>
      </w:r>
    </w:p>
    <w:p w14:paraId="539F476D"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color w:val="000000"/>
          <w:sz w:val="18"/>
          <w:szCs w:val="18"/>
          <w:highlight w:val="white"/>
        </w:rPr>
        <w:t xml:space="preserve">UNESCO (2022). United Nations Educational, Scientific and Cultural Organisation. Indicators. </w:t>
      </w:r>
      <w:hyperlink r:id="rId33">
        <w:r>
          <w:rPr>
            <w:rFonts w:ascii="Times New Roman" w:eastAsia="Times New Roman" w:hAnsi="Times New Roman" w:cs="Times New Roman"/>
            <w:color w:val="000000"/>
            <w:sz w:val="18"/>
            <w:szCs w:val="18"/>
            <w:highlight w:val="white"/>
            <w:u w:val="single"/>
          </w:rPr>
          <w:t>https://unesdoc.unesco.org/ark:/48223/pf0000371562</w:t>
        </w:r>
      </w:hyperlink>
    </w:p>
    <w:p w14:paraId="3492C3F0" w14:textId="0DE9F84D" w:rsidR="00652D83" w:rsidRDefault="00652D83">
      <w:pPr>
        <w:spacing w:after="0" w:line="240" w:lineRule="auto"/>
        <w:rPr>
          <w:rFonts w:ascii="Times New Roman" w:eastAsia="Times New Roman" w:hAnsi="Times New Roman" w:cs="Times New Roman"/>
          <w:sz w:val="18"/>
          <w:szCs w:val="18"/>
        </w:rPr>
      </w:pPr>
      <w:r w:rsidRPr="00652D83">
        <w:rPr>
          <w:rFonts w:ascii="Times New Roman" w:eastAsia="Times New Roman" w:hAnsi="Times New Roman" w:cs="Times New Roman"/>
          <w:sz w:val="18"/>
          <w:szCs w:val="18"/>
        </w:rPr>
        <w:t>Yates, D., Sieber, J., Purkey, D., &amp; Huber-Lee, A. (2005). WEAP21—A Demand-, Priority-, and Preference-Driven Water Planning Model: Part 1: Model Characteristics. Water International, 30(4), 487–500. https://doi.org/10.1080/02508060508691893</w:t>
      </w:r>
    </w:p>
    <w:p w14:paraId="41E5368A" w14:textId="75C22859" w:rsidR="003D0180" w:rsidRDefault="0033222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Wetland Water Balance Modelling Guidance Document (2020) Toronto and Region Conservation Authority</w:t>
      </w:r>
    </w:p>
    <w:p w14:paraId="3444339B" w14:textId="77777777" w:rsidR="003D0180" w:rsidRDefault="00332222">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World Bank (2022). Indicators, https://data.worldbank.org/indicator </w:t>
      </w:r>
    </w:p>
    <w:p w14:paraId="637805D2" w14:textId="77777777" w:rsidR="003D0180" w:rsidRDefault="003D0180">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highlight w:val="white"/>
        </w:rPr>
      </w:pPr>
    </w:p>
    <w:sectPr w:rsidR="003D0180">
      <w:pgSz w:w="11906" w:h="16838"/>
      <w:pgMar w:top="1134" w:right="1134" w:bottom="1134" w:left="1134"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VAN PORTOGHESE" w:date="2024-04-12T09:12:00Z" w:initials="IP">
    <w:p w14:paraId="64E1B9B9" w14:textId="0DF8C9FF" w:rsidR="4B07FD26" w:rsidRDefault="4B07FD26">
      <w:r>
        <w:t>qui serve inserire un riferimento bibliografico</w:t>
      </w:r>
      <w:r>
        <w:annotationRef/>
      </w:r>
    </w:p>
  </w:comment>
  <w:comment w:id="1" w:author="IVAN PORTOGHESE" w:date="2024-04-12T09:12:00Z" w:initials="IP">
    <w:p w14:paraId="527CC1FB" w14:textId="46456561" w:rsidR="4B07FD26" w:rsidRDefault="4B07FD26">
      <w:r>
        <w:t>reference</w:t>
      </w:r>
      <w:r>
        <w:annotationRef/>
      </w:r>
    </w:p>
  </w:comment>
  <w:comment w:id="3" w:author="IVAN PORTOGHESE" w:date="2024-04-12T15:31:00Z" w:initials="IP">
    <w:p w14:paraId="6BFF8597" w14:textId="1DF506B2" w:rsidR="4B07FD26" w:rsidRDefault="4B07FD26">
      <w:r>
        <w:t>ordine alfabetico delle reference se non diversamente specificato dalle regole IAHR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E1B9B9" w15:done="1"/>
  <w15:commentEx w15:paraId="527CC1FB" w15:done="1"/>
  <w15:commentEx w15:paraId="6BFF859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E0F02EB" w16cex:dateUtc="2024-04-12T07:12:00Z">
    <w16cex:extLst>
      <w16:ext w16:uri="{CE6994B0-6A32-4C9F-8C6B-6E91EDA988CE}">
        <cr:reactions xmlns:cr="http://schemas.microsoft.com/office/comments/2020/reactions">
          <cr:reaction reactionType="1">
            <cr:reactionInfo dateUtc="2024-04-12T11:48:11Z">
              <cr:user userId="S::c.panciera_phd.poliba.it#ext#@cnrsc.onmicrosoft.com::2ee19cec-6dcd-4715-9bac-1288b5f98b49" userProvider="AD" userName="PANCIERA CLAUDIA"/>
            </cr:reactionInfo>
          </cr:reaction>
        </cr:reactions>
      </w16:ext>
    </w16cex:extLst>
  </w16cex:commentExtensible>
  <w16cex:commentExtensible w16cex:durableId="2F7708A8" w16cex:dateUtc="2024-04-12T07:12:00Z">
    <w16cex:extLst>
      <w16:ext w16:uri="{CE6994B0-6A32-4C9F-8C6B-6E91EDA988CE}">
        <cr:reactions xmlns:cr="http://schemas.microsoft.com/office/comments/2020/reactions">
          <cr:reaction reactionType="1">
            <cr:reactionInfo dateUtc="2024-04-12T10:57:34Z">
              <cr:user userId="S::c.panciera_phd.poliba.it#ext#@cnrsc.onmicrosoft.com::2ee19cec-6dcd-4715-9bac-1288b5f98b49" userProvider="AD" userName="PANCIERA CLAUDIA"/>
            </cr:reactionInfo>
          </cr:reaction>
        </cr:reactions>
      </w16:ext>
    </w16cex:extLst>
  </w16cex:commentExtensible>
  <w16cex:commentExtensible w16cex:durableId="7CBF22A2" w16cex:dateUtc="2024-04-12T13:31:00Z">
    <w16cex:extLst>
      <w16:ext w16:uri="{CE6994B0-6A32-4C9F-8C6B-6E91EDA988CE}">
        <cr:reactions xmlns:cr="http://schemas.microsoft.com/office/comments/2020/reactions">
          <cr:reaction reactionType="1">
            <cr:reactionInfo dateUtc="2024-04-12T14:27:21Z">
              <cr:user userId="S::c.panciera_phd.poliba.it#ext#@cnrsc.onmicrosoft.com::2ee19cec-6dcd-4715-9bac-1288b5f98b49" userProvider="AD" userName="PANCIERA CLAUD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E1B9B9" w16cid:durableId="4E0F02EB"/>
  <w16cid:commentId w16cid:paraId="527CC1FB" w16cid:durableId="2F7708A8"/>
  <w16cid:commentId w16cid:paraId="6BFF8597" w16cid:durableId="7CBF22A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30C8DFB-6EE2-470E-9A7F-859B8CEBAD64}"/>
    <w:embedBold r:id="rId2" w:fontKey="{2E2A2A70-D602-4F9E-B9DF-D07CC38B3AF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814D8D79-7E4B-4FD1-92A6-6D8D3E3C42F6}"/>
  </w:font>
  <w:font w:name="Segoe UI">
    <w:panose1 w:val="020B0502040204020203"/>
    <w:charset w:val="00"/>
    <w:family w:val="swiss"/>
    <w:pitch w:val="variable"/>
    <w:sig w:usb0="E4002EFF" w:usb1="C000E47F" w:usb2="00000009" w:usb3="00000000" w:csb0="000001FF" w:csb1="00000000"/>
    <w:embedRegular r:id="rId4" w:fontKey="{9C0A5FEE-F42E-4088-A6E7-2AE02BF8F84F}"/>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5672D225-BE5A-4693-9E66-566149E6295B}"/>
  </w:font>
  <w:font w:name="Times">
    <w:altName w:val="Times New Roman"/>
    <w:panose1 w:val="02020603050405020304"/>
    <w:charset w:val="EE"/>
    <w:family w:val="roman"/>
    <w:pitch w:val="variable"/>
    <w:sig w:usb0="E0002AFF" w:usb1="C0007841" w:usb2="00000009" w:usb3="00000000" w:csb0="000001FF" w:csb1="00000000"/>
    <w:embedRegular r:id="rId6" w:fontKey="{95D36F22-99CB-4EE9-B602-8631C07FC12B}"/>
  </w:font>
  <w:font w:name="Georgia">
    <w:panose1 w:val="02040502050405020303"/>
    <w:charset w:val="00"/>
    <w:family w:val="roman"/>
    <w:pitch w:val="variable"/>
    <w:sig w:usb0="00000287" w:usb1="00000000" w:usb2="00000000" w:usb3="00000000" w:csb0="0000009F" w:csb1="00000000"/>
    <w:embedRegular r:id="rId7" w:fontKey="{CEB04220-2D64-4324-822A-63A9BABE32C2}"/>
    <w:embedItalic r:id="rId8" w:fontKey="{078C7F09-0FD3-4A78-9FF1-2D2B72E9AA76}"/>
  </w:font>
  <w:font w:name="Aptos">
    <w:charset w:val="00"/>
    <w:family w:val="swiss"/>
    <w:pitch w:val="variable"/>
    <w:sig w:usb0="20000287" w:usb1="00000003" w:usb2="00000000" w:usb3="00000000" w:csb0="0000019F" w:csb1="00000000"/>
    <w:embedRegular r:id="rId9" w:fontKey="{130D5726-0A30-49F9-A381-943E6EC8FF68}"/>
  </w:font>
  <w:font w:name="Open Sans">
    <w:charset w:val="00"/>
    <w:family w:val="swiss"/>
    <w:pitch w:val="variable"/>
    <w:sig w:usb0="E00002EF" w:usb1="4000205B" w:usb2="00000028" w:usb3="00000000" w:csb0="0000019F" w:csb1="00000000"/>
    <w:embedRegular r:id="rId10" w:fontKey="{9A084F41-3F41-44CC-876C-C6896558D165}"/>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7B62B001-40E2-4A4C-AA66-E2ED4EF12FD4}"/>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7E2E"/>
    <w:multiLevelType w:val="multilevel"/>
    <w:tmpl w:val="6F92D22C"/>
    <w:lvl w:ilvl="0">
      <w:start w:val="1"/>
      <w:numFmt w:val="decimal"/>
      <w:pStyle w:val="IAHRheading1"/>
      <w:lvlText w:val="%1."/>
      <w:lvlJc w:val="left"/>
      <w:pPr>
        <w:ind w:left="360" w:hanging="360"/>
      </w:pPr>
    </w:lvl>
    <w:lvl w:ilvl="1">
      <w:start w:val="1"/>
      <w:numFmt w:val="decimal"/>
      <w:pStyle w:val="IAHR-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6120EE4"/>
    <w:multiLevelType w:val="multilevel"/>
    <w:tmpl w:val="FFFFFFFF"/>
    <w:lvl w:ilvl="0">
      <w:start w:val="1"/>
      <w:numFmt w:val="decimal"/>
      <w:pStyle w:val="Bullet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23508310">
    <w:abstractNumId w:val="0"/>
  </w:num>
  <w:num w:numId="2" w16cid:durableId="20879219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 PORTOGHESE">
    <w15:presenceInfo w15:providerId="AD" w15:userId="S::ivan.portoghese@cnr.it::7d7fb9d8-8cb8-44d8-b324-ef1fd2d71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trackRevision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180"/>
    <w:rsid w:val="000321A8"/>
    <w:rsid w:val="00144959"/>
    <w:rsid w:val="001C35AD"/>
    <w:rsid w:val="001F00B3"/>
    <w:rsid w:val="00212C1E"/>
    <w:rsid w:val="0028799E"/>
    <w:rsid w:val="002B7BBB"/>
    <w:rsid w:val="003072DF"/>
    <w:rsid w:val="00332222"/>
    <w:rsid w:val="003B56EF"/>
    <w:rsid w:val="003D0180"/>
    <w:rsid w:val="00562947"/>
    <w:rsid w:val="00574D33"/>
    <w:rsid w:val="00652D83"/>
    <w:rsid w:val="00690CB8"/>
    <w:rsid w:val="006A3931"/>
    <w:rsid w:val="006E756F"/>
    <w:rsid w:val="00884670"/>
    <w:rsid w:val="009024A2"/>
    <w:rsid w:val="009693C1"/>
    <w:rsid w:val="00A88931"/>
    <w:rsid w:val="00A9597E"/>
    <w:rsid w:val="00AB2652"/>
    <w:rsid w:val="00C30A1D"/>
    <w:rsid w:val="00C31832"/>
    <w:rsid w:val="00CF0453"/>
    <w:rsid w:val="00D16A66"/>
    <w:rsid w:val="00D62F19"/>
    <w:rsid w:val="00D72469"/>
    <w:rsid w:val="00DC1B27"/>
    <w:rsid w:val="00EC579D"/>
    <w:rsid w:val="00F4579C"/>
    <w:rsid w:val="00F80500"/>
    <w:rsid w:val="00F9EE67"/>
    <w:rsid w:val="00FB734F"/>
    <w:rsid w:val="00FDD0E6"/>
    <w:rsid w:val="0120EBF1"/>
    <w:rsid w:val="01535926"/>
    <w:rsid w:val="01AD97E4"/>
    <w:rsid w:val="01B94857"/>
    <w:rsid w:val="01BAA647"/>
    <w:rsid w:val="024AC8B1"/>
    <w:rsid w:val="02917F4C"/>
    <w:rsid w:val="0299A147"/>
    <w:rsid w:val="0299F717"/>
    <w:rsid w:val="02B05276"/>
    <w:rsid w:val="02F45486"/>
    <w:rsid w:val="031229B7"/>
    <w:rsid w:val="03381281"/>
    <w:rsid w:val="034C3071"/>
    <w:rsid w:val="0392712E"/>
    <w:rsid w:val="03D5A0BE"/>
    <w:rsid w:val="03E622A0"/>
    <w:rsid w:val="041EE567"/>
    <w:rsid w:val="0426C67A"/>
    <w:rsid w:val="04338379"/>
    <w:rsid w:val="04523465"/>
    <w:rsid w:val="0477C058"/>
    <w:rsid w:val="049EA24F"/>
    <w:rsid w:val="04D62908"/>
    <w:rsid w:val="04D73677"/>
    <w:rsid w:val="04E56969"/>
    <w:rsid w:val="0527D3BF"/>
    <w:rsid w:val="052ADA5F"/>
    <w:rsid w:val="059570AF"/>
    <w:rsid w:val="05E77B7D"/>
    <w:rsid w:val="0671F969"/>
    <w:rsid w:val="06C63C8F"/>
    <w:rsid w:val="070D1FC0"/>
    <w:rsid w:val="0713D80A"/>
    <w:rsid w:val="0767CE67"/>
    <w:rsid w:val="076FA0FB"/>
    <w:rsid w:val="079F70DE"/>
    <w:rsid w:val="08048B04"/>
    <w:rsid w:val="08129C7C"/>
    <w:rsid w:val="083CF0F8"/>
    <w:rsid w:val="08423BA3"/>
    <w:rsid w:val="08BFCC09"/>
    <w:rsid w:val="08C810CB"/>
    <w:rsid w:val="08D40AC8"/>
    <w:rsid w:val="08FCD05D"/>
    <w:rsid w:val="0902F6B8"/>
    <w:rsid w:val="090B715C"/>
    <w:rsid w:val="091A76C3"/>
    <w:rsid w:val="09557BE6"/>
    <w:rsid w:val="09A03122"/>
    <w:rsid w:val="09B27D14"/>
    <w:rsid w:val="09C886E2"/>
    <w:rsid w:val="09E55432"/>
    <w:rsid w:val="09F6B9AB"/>
    <w:rsid w:val="0A8B8ACF"/>
    <w:rsid w:val="0A8D5CDE"/>
    <w:rsid w:val="0A960933"/>
    <w:rsid w:val="0B48A7BF"/>
    <w:rsid w:val="0B48FA54"/>
    <w:rsid w:val="0B59EBDE"/>
    <w:rsid w:val="0B7881A8"/>
    <w:rsid w:val="0B78DC45"/>
    <w:rsid w:val="0BBDFA48"/>
    <w:rsid w:val="0BD727EF"/>
    <w:rsid w:val="0C5F8859"/>
    <w:rsid w:val="0C69A9E0"/>
    <w:rsid w:val="0CC61F6A"/>
    <w:rsid w:val="0CFC75CB"/>
    <w:rsid w:val="0D3C31E6"/>
    <w:rsid w:val="0D634D04"/>
    <w:rsid w:val="0D9D6519"/>
    <w:rsid w:val="0DCECC00"/>
    <w:rsid w:val="0E234B55"/>
    <w:rsid w:val="0E5232CD"/>
    <w:rsid w:val="0E79D2E6"/>
    <w:rsid w:val="0E84BB6B"/>
    <w:rsid w:val="0E9C7564"/>
    <w:rsid w:val="0EB7AD10"/>
    <w:rsid w:val="0EB97F62"/>
    <w:rsid w:val="0ED59BE8"/>
    <w:rsid w:val="0EE9794E"/>
    <w:rsid w:val="0EFCDB05"/>
    <w:rsid w:val="0F201F2B"/>
    <w:rsid w:val="0F2C6812"/>
    <w:rsid w:val="0F529676"/>
    <w:rsid w:val="0F601DEC"/>
    <w:rsid w:val="102CE585"/>
    <w:rsid w:val="10818331"/>
    <w:rsid w:val="11583523"/>
    <w:rsid w:val="11806830"/>
    <w:rsid w:val="11AF9097"/>
    <w:rsid w:val="11CA82AD"/>
    <w:rsid w:val="11DF985A"/>
    <w:rsid w:val="120BE6C1"/>
    <w:rsid w:val="12626AE2"/>
    <w:rsid w:val="127D11F2"/>
    <w:rsid w:val="127F6715"/>
    <w:rsid w:val="12F4A7C0"/>
    <w:rsid w:val="130D3AD7"/>
    <w:rsid w:val="1340E3BC"/>
    <w:rsid w:val="1354AF6E"/>
    <w:rsid w:val="13589552"/>
    <w:rsid w:val="135C0373"/>
    <w:rsid w:val="1373A1C6"/>
    <w:rsid w:val="140B2419"/>
    <w:rsid w:val="142848EE"/>
    <w:rsid w:val="14A90B38"/>
    <w:rsid w:val="14C1367B"/>
    <w:rsid w:val="14CC6BF2"/>
    <w:rsid w:val="14D5E6D2"/>
    <w:rsid w:val="14F4D2AE"/>
    <w:rsid w:val="154743CB"/>
    <w:rsid w:val="15C563D8"/>
    <w:rsid w:val="15CD428B"/>
    <w:rsid w:val="15DFCBE1"/>
    <w:rsid w:val="15E131BF"/>
    <w:rsid w:val="15F764E2"/>
    <w:rsid w:val="162DDEFA"/>
    <w:rsid w:val="16522562"/>
    <w:rsid w:val="166A13CE"/>
    <w:rsid w:val="166B0C37"/>
    <w:rsid w:val="16DB2413"/>
    <w:rsid w:val="1702263E"/>
    <w:rsid w:val="172B3110"/>
    <w:rsid w:val="1735DC05"/>
    <w:rsid w:val="17494C83"/>
    <w:rsid w:val="1755E19B"/>
    <w:rsid w:val="176CFBB9"/>
    <w:rsid w:val="17748C3B"/>
    <w:rsid w:val="17E97E79"/>
    <w:rsid w:val="18127554"/>
    <w:rsid w:val="1825AE0B"/>
    <w:rsid w:val="18C70171"/>
    <w:rsid w:val="18D1AC66"/>
    <w:rsid w:val="18D4BB0B"/>
    <w:rsid w:val="195C8AD0"/>
    <w:rsid w:val="196AE148"/>
    <w:rsid w:val="19B5EB2B"/>
    <w:rsid w:val="19CB3B43"/>
    <w:rsid w:val="19E638E7"/>
    <w:rsid w:val="1A041F8F"/>
    <w:rsid w:val="1A55E140"/>
    <w:rsid w:val="1A6FF879"/>
    <w:rsid w:val="1A78085D"/>
    <w:rsid w:val="1B0440C2"/>
    <w:rsid w:val="1B32249C"/>
    <w:rsid w:val="1B99E1F2"/>
    <w:rsid w:val="1B9BF626"/>
    <w:rsid w:val="1BC5C0FA"/>
    <w:rsid w:val="1C094D28"/>
    <w:rsid w:val="1C1406D2"/>
    <w:rsid w:val="1CA106CD"/>
    <w:rsid w:val="1CB9752E"/>
    <w:rsid w:val="1CEA77A0"/>
    <w:rsid w:val="1CFF4C3D"/>
    <w:rsid w:val="1D1625B0"/>
    <w:rsid w:val="1D26D3BB"/>
    <w:rsid w:val="1D39B8FA"/>
    <w:rsid w:val="1E2AD0DB"/>
    <w:rsid w:val="1E2B9855"/>
    <w:rsid w:val="1E37590C"/>
    <w:rsid w:val="1E9B41F7"/>
    <w:rsid w:val="1F27C9DD"/>
    <w:rsid w:val="1F727A5A"/>
    <w:rsid w:val="1F8F6F93"/>
    <w:rsid w:val="1FDFEDD2"/>
    <w:rsid w:val="1FF595B2"/>
    <w:rsid w:val="203884B3"/>
    <w:rsid w:val="2067DF8A"/>
    <w:rsid w:val="2070002A"/>
    <w:rsid w:val="209F9C59"/>
    <w:rsid w:val="20CDEAF1"/>
    <w:rsid w:val="2160B925"/>
    <w:rsid w:val="21C228B6"/>
    <w:rsid w:val="2223D09F"/>
    <w:rsid w:val="223B6CBA"/>
    <w:rsid w:val="22AC37D5"/>
    <w:rsid w:val="22B22698"/>
    <w:rsid w:val="22EF3A8F"/>
    <w:rsid w:val="2302E6C9"/>
    <w:rsid w:val="231C4A19"/>
    <w:rsid w:val="23450F1E"/>
    <w:rsid w:val="234C7134"/>
    <w:rsid w:val="23616DC6"/>
    <w:rsid w:val="23E2574F"/>
    <w:rsid w:val="23ECE9BB"/>
    <w:rsid w:val="240EA58F"/>
    <w:rsid w:val="24261F4E"/>
    <w:rsid w:val="243BC063"/>
    <w:rsid w:val="2464928F"/>
    <w:rsid w:val="24D09A4C"/>
    <w:rsid w:val="252EBB2F"/>
    <w:rsid w:val="25E881D1"/>
    <w:rsid w:val="26D81DB8"/>
    <w:rsid w:val="2701257C"/>
    <w:rsid w:val="2701DAF3"/>
    <w:rsid w:val="272761F4"/>
    <w:rsid w:val="273530FC"/>
    <w:rsid w:val="27D16157"/>
    <w:rsid w:val="27E13188"/>
    <w:rsid w:val="2811FCA6"/>
    <w:rsid w:val="282B98E4"/>
    <w:rsid w:val="2833839F"/>
    <w:rsid w:val="2889EA30"/>
    <w:rsid w:val="28CBFB4D"/>
    <w:rsid w:val="28D12B79"/>
    <w:rsid w:val="29007A62"/>
    <w:rsid w:val="29059579"/>
    <w:rsid w:val="29252D2D"/>
    <w:rsid w:val="2961CB74"/>
    <w:rsid w:val="296A4618"/>
    <w:rsid w:val="298119F4"/>
    <w:rsid w:val="29A3602A"/>
    <w:rsid w:val="29BC8333"/>
    <w:rsid w:val="29D0D620"/>
    <w:rsid w:val="29DF66F9"/>
    <w:rsid w:val="2A419DFF"/>
    <w:rsid w:val="2AAED00C"/>
    <w:rsid w:val="2ABAC7E0"/>
    <w:rsid w:val="2B9CEB5D"/>
    <w:rsid w:val="2BD25EAC"/>
    <w:rsid w:val="2BD4969F"/>
    <w:rsid w:val="2C381B24"/>
    <w:rsid w:val="2C670CC7"/>
    <w:rsid w:val="2C79423F"/>
    <w:rsid w:val="2CBBFFEE"/>
    <w:rsid w:val="2D2E947D"/>
    <w:rsid w:val="2D5B9388"/>
    <w:rsid w:val="2DFAFB0B"/>
    <w:rsid w:val="2E41B554"/>
    <w:rsid w:val="2E41E3E7"/>
    <w:rsid w:val="2E41F8A6"/>
    <w:rsid w:val="2E9F0778"/>
    <w:rsid w:val="2EB9CF1F"/>
    <w:rsid w:val="2EED7E49"/>
    <w:rsid w:val="2F2AA6E2"/>
    <w:rsid w:val="2F7B4654"/>
    <w:rsid w:val="2FB198CA"/>
    <w:rsid w:val="2FFC4544"/>
    <w:rsid w:val="3018CCE9"/>
    <w:rsid w:val="304EA87D"/>
    <w:rsid w:val="30A6D799"/>
    <w:rsid w:val="311716B5"/>
    <w:rsid w:val="3138870F"/>
    <w:rsid w:val="31AD92CA"/>
    <w:rsid w:val="31D05D01"/>
    <w:rsid w:val="31D3EBCA"/>
    <w:rsid w:val="322552F1"/>
    <w:rsid w:val="3246130C"/>
    <w:rsid w:val="326F76A5"/>
    <w:rsid w:val="32784CA0"/>
    <w:rsid w:val="327D7731"/>
    <w:rsid w:val="329E6430"/>
    <w:rsid w:val="32BF6FB2"/>
    <w:rsid w:val="32DB1086"/>
    <w:rsid w:val="330F65B0"/>
    <w:rsid w:val="3347526D"/>
    <w:rsid w:val="334D9EDF"/>
    <w:rsid w:val="335EA217"/>
    <w:rsid w:val="33B00EB3"/>
    <w:rsid w:val="33B89945"/>
    <w:rsid w:val="33DD6EAD"/>
    <w:rsid w:val="34194800"/>
    <w:rsid w:val="3439BD66"/>
    <w:rsid w:val="352219A0"/>
    <w:rsid w:val="35543B15"/>
    <w:rsid w:val="3555C01B"/>
    <w:rsid w:val="358450A6"/>
    <w:rsid w:val="359C34CD"/>
    <w:rsid w:val="35E000FF"/>
    <w:rsid w:val="35E08EFD"/>
    <w:rsid w:val="35FEAC4A"/>
    <w:rsid w:val="3630C3E2"/>
    <w:rsid w:val="3656137B"/>
    <w:rsid w:val="3668F263"/>
    <w:rsid w:val="36800D9F"/>
    <w:rsid w:val="36856B30"/>
    <w:rsid w:val="3696B92F"/>
    <w:rsid w:val="36C41DBB"/>
    <w:rsid w:val="36DB4A0D"/>
    <w:rsid w:val="36FCC22D"/>
    <w:rsid w:val="3735BF7F"/>
    <w:rsid w:val="37A07C8B"/>
    <w:rsid w:val="37DB93EE"/>
    <w:rsid w:val="37EFE00B"/>
    <w:rsid w:val="381D1B0C"/>
    <w:rsid w:val="382AAAE3"/>
    <w:rsid w:val="38424D10"/>
    <w:rsid w:val="3898C121"/>
    <w:rsid w:val="38BB2C37"/>
    <w:rsid w:val="38C6466B"/>
    <w:rsid w:val="396C1ECC"/>
    <w:rsid w:val="398BB06C"/>
    <w:rsid w:val="39AC1BCF"/>
    <w:rsid w:val="39B9F823"/>
    <w:rsid w:val="39CDE39B"/>
    <w:rsid w:val="39DCDA33"/>
    <w:rsid w:val="3A333117"/>
    <w:rsid w:val="3A8D3658"/>
    <w:rsid w:val="3AC60E83"/>
    <w:rsid w:val="3AC675F1"/>
    <w:rsid w:val="3AF1D95C"/>
    <w:rsid w:val="3B4A44B9"/>
    <w:rsid w:val="3B69B3FC"/>
    <w:rsid w:val="3BDE1018"/>
    <w:rsid w:val="3BE38CE0"/>
    <w:rsid w:val="3C2C31B1"/>
    <w:rsid w:val="3C361A26"/>
    <w:rsid w:val="3C382DA6"/>
    <w:rsid w:val="3C851E17"/>
    <w:rsid w:val="3D975011"/>
    <w:rsid w:val="3DE598BC"/>
    <w:rsid w:val="3DFD3E1C"/>
    <w:rsid w:val="3E0270E9"/>
    <w:rsid w:val="3E0A35D8"/>
    <w:rsid w:val="3E340D6E"/>
    <w:rsid w:val="3E5741A6"/>
    <w:rsid w:val="3E92D756"/>
    <w:rsid w:val="3EB6B95D"/>
    <w:rsid w:val="3EC4E6FD"/>
    <w:rsid w:val="3EED3C6D"/>
    <w:rsid w:val="3EF8F592"/>
    <w:rsid w:val="3F193C2A"/>
    <w:rsid w:val="3F1FD7DC"/>
    <w:rsid w:val="3F2DB658"/>
    <w:rsid w:val="3F60FC4F"/>
    <w:rsid w:val="3F9E414A"/>
    <w:rsid w:val="3FA3967C"/>
    <w:rsid w:val="3FD6E25A"/>
    <w:rsid w:val="3FE3CD64"/>
    <w:rsid w:val="401EF5DF"/>
    <w:rsid w:val="409E556E"/>
    <w:rsid w:val="4104D9D1"/>
    <w:rsid w:val="410AEC45"/>
    <w:rsid w:val="410E273B"/>
    <w:rsid w:val="4138B3B0"/>
    <w:rsid w:val="419D08F9"/>
    <w:rsid w:val="41C91933"/>
    <w:rsid w:val="41DCF7B2"/>
    <w:rsid w:val="41E2B30B"/>
    <w:rsid w:val="4212E670"/>
    <w:rsid w:val="42200BF5"/>
    <w:rsid w:val="423865E2"/>
    <w:rsid w:val="423A25CF"/>
    <w:rsid w:val="4273EE96"/>
    <w:rsid w:val="42BFFDBF"/>
    <w:rsid w:val="42D5E20C"/>
    <w:rsid w:val="43001A7C"/>
    <w:rsid w:val="43128443"/>
    <w:rsid w:val="43134ECA"/>
    <w:rsid w:val="435A6F80"/>
    <w:rsid w:val="43B07430"/>
    <w:rsid w:val="440EFB2D"/>
    <w:rsid w:val="44488EFA"/>
    <w:rsid w:val="45240342"/>
    <w:rsid w:val="4530BB8C"/>
    <w:rsid w:val="458DDD11"/>
    <w:rsid w:val="459D19D0"/>
    <w:rsid w:val="45A98A8A"/>
    <w:rsid w:val="45BEF6BA"/>
    <w:rsid w:val="46348C03"/>
    <w:rsid w:val="467BF979"/>
    <w:rsid w:val="4685E282"/>
    <w:rsid w:val="46DCA2D5"/>
    <w:rsid w:val="46F12FFF"/>
    <w:rsid w:val="475642D8"/>
    <w:rsid w:val="475C3DF0"/>
    <w:rsid w:val="47758B80"/>
    <w:rsid w:val="4790E543"/>
    <w:rsid w:val="47D3C3C6"/>
    <w:rsid w:val="4841A722"/>
    <w:rsid w:val="485E6B01"/>
    <w:rsid w:val="488A1F4E"/>
    <w:rsid w:val="4939A554"/>
    <w:rsid w:val="496F5C00"/>
    <w:rsid w:val="49C4FBA4"/>
    <w:rsid w:val="49CAA5B1"/>
    <w:rsid w:val="4A143BDA"/>
    <w:rsid w:val="4A164C39"/>
    <w:rsid w:val="4A23AFC7"/>
    <w:rsid w:val="4A2E6C12"/>
    <w:rsid w:val="4A7513DD"/>
    <w:rsid w:val="4A75265B"/>
    <w:rsid w:val="4AA51E9E"/>
    <w:rsid w:val="4ADF92E8"/>
    <w:rsid w:val="4AE64923"/>
    <w:rsid w:val="4B01CA1E"/>
    <w:rsid w:val="4B07FD26"/>
    <w:rsid w:val="4B1E94A5"/>
    <w:rsid w:val="4B245938"/>
    <w:rsid w:val="4B543B0A"/>
    <w:rsid w:val="4B76079B"/>
    <w:rsid w:val="4B8630BA"/>
    <w:rsid w:val="4B99698B"/>
    <w:rsid w:val="4BA30D0C"/>
    <w:rsid w:val="4BA43082"/>
    <w:rsid w:val="4BF87B1D"/>
    <w:rsid w:val="4C0A76DE"/>
    <w:rsid w:val="4C35DEBD"/>
    <w:rsid w:val="4C48CAC9"/>
    <w:rsid w:val="4C4F540B"/>
    <w:rsid w:val="4C568FA1"/>
    <w:rsid w:val="4C87864D"/>
    <w:rsid w:val="4DD20699"/>
    <w:rsid w:val="4DDB993D"/>
    <w:rsid w:val="4DF77BA7"/>
    <w:rsid w:val="4E129A14"/>
    <w:rsid w:val="4ED40277"/>
    <w:rsid w:val="4ED5A609"/>
    <w:rsid w:val="4F1892AC"/>
    <w:rsid w:val="4F1ED9A1"/>
    <w:rsid w:val="4F2FDED9"/>
    <w:rsid w:val="4F301BDF"/>
    <w:rsid w:val="4F4AE465"/>
    <w:rsid w:val="4FB9BA46"/>
    <w:rsid w:val="500831F2"/>
    <w:rsid w:val="50155474"/>
    <w:rsid w:val="50160CBE"/>
    <w:rsid w:val="505E93FF"/>
    <w:rsid w:val="5095BBFA"/>
    <w:rsid w:val="5195C18F"/>
    <w:rsid w:val="51A70564"/>
    <w:rsid w:val="51C44034"/>
    <w:rsid w:val="51FA49A9"/>
    <w:rsid w:val="520D46CB"/>
    <w:rsid w:val="5228A244"/>
    <w:rsid w:val="52357EF0"/>
    <w:rsid w:val="5238ED10"/>
    <w:rsid w:val="525F6B87"/>
    <w:rsid w:val="526EC899"/>
    <w:rsid w:val="527BAD09"/>
    <w:rsid w:val="52898482"/>
    <w:rsid w:val="52CD3E53"/>
    <w:rsid w:val="52D7A17F"/>
    <w:rsid w:val="52F9488E"/>
    <w:rsid w:val="532AE42F"/>
    <w:rsid w:val="53961A0A"/>
    <w:rsid w:val="53C4ADEA"/>
    <w:rsid w:val="53CDEDB2"/>
    <w:rsid w:val="54040FC7"/>
    <w:rsid w:val="54177D6A"/>
    <w:rsid w:val="5460F318"/>
    <w:rsid w:val="546D71C7"/>
    <w:rsid w:val="5476E329"/>
    <w:rsid w:val="548D0AA6"/>
    <w:rsid w:val="54EE226C"/>
    <w:rsid w:val="54EE9D3E"/>
    <w:rsid w:val="550E34BA"/>
    <w:rsid w:val="551533FD"/>
    <w:rsid w:val="553B3EE8"/>
    <w:rsid w:val="55C57A29"/>
    <w:rsid w:val="55D2EBB8"/>
    <w:rsid w:val="560CD44E"/>
    <w:rsid w:val="5630E950"/>
    <w:rsid w:val="5664352E"/>
    <w:rsid w:val="56A587BF"/>
    <w:rsid w:val="56B114CD"/>
    <w:rsid w:val="574B76F4"/>
    <w:rsid w:val="575CF5A5"/>
    <w:rsid w:val="57A6DA54"/>
    <w:rsid w:val="57AB97BE"/>
    <w:rsid w:val="58087109"/>
    <w:rsid w:val="584B6B8C"/>
    <w:rsid w:val="58512CDB"/>
    <w:rsid w:val="588E3658"/>
    <w:rsid w:val="58C2DC4A"/>
    <w:rsid w:val="58D0614D"/>
    <w:rsid w:val="592516C1"/>
    <w:rsid w:val="596E0DAF"/>
    <w:rsid w:val="596F6FE6"/>
    <w:rsid w:val="59A7122C"/>
    <w:rsid w:val="59B5AC1B"/>
    <w:rsid w:val="5A22D293"/>
    <w:rsid w:val="5A40DB57"/>
    <w:rsid w:val="5A728427"/>
    <w:rsid w:val="5ADFC6DC"/>
    <w:rsid w:val="5AE5DCE4"/>
    <w:rsid w:val="5B1F41C2"/>
    <w:rsid w:val="5BB54FFA"/>
    <w:rsid w:val="5C94C647"/>
    <w:rsid w:val="5C9CA9A6"/>
    <w:rsid w:val="5CCA2E20"/>
    <w:rsid w:val="5CE061BC"/>
    <w:rsid w:val="5CEF5E26"/>
    <w:rsid w:val="5D20DBC8"/>
    <w:rsid w:val="5D3A4BF0"/>
    <w:rsid w:val="5D564C4A"/>
    <w:rsid w:val="5D61A77B"/>
    <w:rsid w:val="5D92B995"/>
    <w:rsid w:val="5E11A26F"/>
    <w:rsid w:val="5E2ADD24"/>
    <w:rsid w:val="5E56CB34"/>
    <w:rsid w:val="5E9EC213"/>
    <w:rsid w:val="5EC9CEF7"/>
    <w:rsid w:val="5EDCCDFE"/>
    <w:rsid w:val="5F2A68F6"/>
    <w:rsid w:val="5F62AAB5"/>
    <w:rsid w:val="5F6C5C6F"/>
    <w:rsid w:val="5F7F45D3"/>
    <w:rsid w:val="5F95972E"/>
    <w:rsid w:val="5FA181AB"/>
    <w:rsid w:val="5FB85F0A"/>
    <w:rsid w:val="5FBB77EE"/>
    <w:rsid w:val="5FD6C183"/>
    <w:rsid w:val="5FDCA38C"/>
    <w:rsid w:val="5FF03EDA"/>
    <w:rsid w:val="60860A63"/>
    <w:rsid w:val="6088D4D3"/>
    <w:rsid w:val="60F3F96A"/>
    <w:rsid w:val="61280367"/>
    <w:rsid w:val="619DCB8F"/>
    <w:rsid w:val="61B3D2DF"/>
    <w:rsid w:val="61BBB4A2"/>
    <w:rsid w:val="61D5D2FD"/>
    <w:rsid w:val="62166393"/>
    <w:rsid w:val="6216BE14"/>
    <w:rsid w:val="622E1882"/>
    <w:rsid w:val="627E5D33"/>
    <w:rsid w:val="62A59201"/>
    <w:rsid w:val="62A7400A"/>
    <w:rsid w:val="639CFB3B"/>
    <w:rsid w:val="63B327C5"/>
    <w:rsid w:val="63E28FED"/>
    <w:rsid w:val="63E75107"/>
    <w:rsid w:val="63F494BF"/>
    <w:rsid w:val="641478D7"/>
    <w:rsid w:val="6456AFFE"/>
    <w:rsid w:val="647B2660"/>
    <w:rsid w:val="647F0468"/>
    <w:rsid w:val="64838383"/>
    <w:rsid w:val="64B2041C"/>
    <w:rsid w:val="64E8B128"/>
    <w:rsid w:val="654F027B"/>
    <w:rsid w:val="659AB838"/>
    <w:rsid w:val="65B8C3DC"/>
    <w:rsid w:val="65C0B3AF"/>
    <w:rsid w:val="65DE48F3"/>
    <w:rsid w:val="664DC66E"/>
    <w:rsid w:val="664EE412"/>
    <w:rsid w:val="664F57D1"/>
    <w:rsid w:val="6655359E"/>
    <w:rsid w:val="668FE792"/>
    <w:rsid w:val="66C6AF68"/>
    <w:rsid w:val="66D12EC8"/>
    <w:rsid w:val="674C1999"/>
    <w:rsid w:val="67753137"/>
    <w:rsid w:val="67BA4088"/>
    <w:rsid w:val="6847767E"/>
    <w:rsid w:val="688698E8"/>
    <w:rsid w:val="690BF868"/>
    <w:rsid w:val="693BC7F7"/>
    <w:rsid w:val="6981F170"/>
    <w:rsid w:val="69DCAED5"/>
    <w:rsid w:val="69F967B0"/>
    <w:rsid w:val="6A4C1EAB"/>
    <w:rsid w:val="6A61DEA2"/>
    <w:rsid w:val="6AECF3B1"/>
    <w:rsid w:val="6AF71708"/>
    <w:rsid w:val="6B33B8F6"/>
    <w:rsid w:val="6B372F42"/>
    <w:rsid w:val="6BA08479"/>
    <w:rsid w:val="6BD4CBE5"/>
    <w:rsid w:val="6BD6AFB2"/>
    <w:rsid w:val="6BE5A9F1"/>
    <w:rsid w:val="6BFBFEA7"/>
    <w:rsid w:val="6C37053A"/>
    <w:rsid w:val="6C38C4BE"/>
    <w:rsid w:val="6C8EA776"/>
    <w:rsid w:val="6C8ED4B5"/>
    <w:rsid w:val="6CB44106"/>
    <w:rsid w:val="6CE6BD86"/>
    <w:rsid w:val="6D041D08"/>
    <w:rsid w:val="6D1D68E0"/>
    <w:rsid w:val="6D7C9D5A"/>
    <w:rsid w:val="6D976A61"/>
    <w:rsid w:val="6DB29D37"/>
    <w:rsid w:val="6E40B7D2"/>
    <w:rsid w:val="6E4FC53C"/>
    <w:rsid w:val="6E6D064E"/>
    <w:rsid w:val="6E7EDAAA"/>
    <w:rsid w:val="6EAF1E10"/>
    <w:rsid w:val="6EB93941"/>
    <w:rsid w:val="6ED26482"/>
    <w:rsid w:val="6F070013"/>
    <w:rsid w:val="6F22FE0A"/>
    <w:rsid w:val="6F276463"/>
    <w:rsid w:val="6F4C3AB0"/>
    <w:rsid w:val="6F6AECAC"/>
    <w:rsid w:val="704A7597"/>
    <w:rsid w:val="7096E47F"/>
    <w:rsid w:val="70AD5CD1"/>
    <w:rsid w:val="70B159AD"/>
    <w:rsid w:val="711B16A1"/>
    <w:rsid w:val="71220E45"/>
    <w:rsid w:val="7137CDEE"/>
    <w:rsid w:val="71565DB8"/>
    <w:rsid w:val="71748271"/>
    <w:rsid w:val="719C182F"/>
    <w:rsid w:val="71AC7D46"/>
    <w:rsid w:val="71B44AE1"/>
    <w:rsid w:val="71E8853A"/>
    <w:rsid w:val="7218F588"/>
    <w:rsid w:val="72239BBB"/>
    <w:rsid w:val="727801D3"/>
    <w:rsid w:val="727F41A6"/>
    <w:rsid w:val="73705C27"/>
    <w:rsid w:val="737C6A8F"/>
    <w:rsid w:val="73E8408F"/>
    <w:rsid w:val="74422A5F"/>
    <w:rsid w:val="747AAD9A"/>
    <w:rsid w:val="74B336AF"/>
    <w:rsid w:val="74C898F0"/>
    <w:rsid w:val="74E9D4EC"/>
    <w:rsid w:val="74ED74C7"/>
    <w:rsid w:val="750275F2"/>
    <w:rsid w:val="752B002C"/>
    <w:rsid w:val="754C7728"/>
    <w:rsid w:val="7564ABA8"/>
    <w:rsid w:val="75661F85"/>
    <w:rsid w:val="7582D2BC"/>
    <w:rsid w:val="761D0C6D"/>
    <w:rsid w:val="7620E909"/>
    <w:rsid w:val="76FD7AE3"/>
    <w:rsid w:val="7728E688"/>
    <w:rsid w:val="779E69F6"/>
    <w:rsid w:val="7803770B"/>
    <w:rsid w:val="7807636A"/>
    <w:rsid w:val="7819620F"/>
    <w:rsid w:val="781AE145"/>
    <w:rsid w:val="78490E8A"/>
    <w:rsid w:val="79352C35"/>
    <w:rsid w:val="794CD199"/>
    <w:rsid w:val="795BEFA7"/>
    <w:rsid w:val="795DB772"/>
    <w:rsid w:val="799C0A13"/>
    <w:rsid w:val="79ACA7C4"/>
    <w:rsid w:val="79BE1B1A"/>
    <w:rsid w:val="79CAA4D1"/>
    <w:rsid w:val="7A64993D"/>
    <w:rsid w:val="7A68B601"/>
    <w:rsid w:val="7A8C205D"/>
    <w:rsid w:val="7AE8029D"/>
    <w:rsid w:val="7AEA251B"/>
    <w:rsid w:val="7AFD3FFE"/>
    <w:rsid w:val="7B1F35A2"/>
    <w:rsid w:val="7B1F6730"/>
    <w:rsid w:val="7B819E36"/>
    <w:rsid w:val="7BCA6D18"/>
    <w:rsid w:val="7C400389"/>
    <w:rsid w:val="7CAFFB9F"/>
    <w:rsid w:val="7CD279FC"/>
    <w:rsid w:val="7D20B393"/>
    <w:rsid w:val="7DB2C7DF"/>
    <w:rsid w:val="7DCACA69"/>
    <w:rsid w:val="7DE613BD"/>
    <w:rsid w:val="7E0A1D02"/>
    <w:rsid w:val="7E16386D"/>
    <w:rsid w:val="7E274F9D"/>
    <w:rsid w:val="7EAC197D"/>
    <w:rsid w:val="7EB93EF8"/>
    <w:rsid w:val="7EDB06D9"/>
    <w:rsid w:val="7F1B2429"/>
    <w:rsid w:val="7F42DD5F"/>
    <w:rsid w:val="7F4967FF"/>
    <w:rsid w:val="7F87B1B9"/>
    <w:rsid w:val="7FB46C04"/>
    <w:rsid w:val="7FDD6D2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B41A8C"/>
  <w15:docId w15:val="{79DEC336-08E7-4C43-907C-91CA56FA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3860"/>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SHAddress">
    <w:name w:val="SH Address"/>
    <w:basedOn w:val="Normale"/>
    <w:rsid w:val="00025D1B"/>
    <w:pPr>
      <w:spacing w:after="0" w:line="240" w:lineRule="auto"/>
      <w:jc w:val="center"/>
    </w:pPr>
    <w:rPr>
      <w:rFonts w:ascii="Times New Roman" w:eastAsia="Times New Roman" w:hAnsi="Times New Roman" w:cs="Times New Roman"/>
      <w:sz w:val="20"/>
      <w:szCs w:val="20"/>
      <w:lang w:eastAsia="pl-PL"/>
    </w:rPr>
  </w:style>
  <w:style w:type="paragraph" w:customStyle="1" w:styleId="SHAuthor">
    <w:name w:val="SH Author"/>
    <w:basedOn w:val="Normale"/>
    <w:rsid w:val="00025D1B"/>
    <w:pPr>
      <w:spacing w:after="120" w:line="240" w:lineRule="auto"/>
      <w:jc w:val="center"/>
    </w:pPr>
    <w:rPr>
      <w:rFonts w:ascii="Times New Roman" w:eastAsia="Times New Roman" w:hAnsi="Times New Roman" w:cs="Times New Roman"/>
      <w:iCs/>
      <w:sz w:val="20"/>
      <w:szCs w:val="20"/>
      <w:lang w:eastAsia="pl-PL"/>
    </w:rPr>
  </w:style>
  <w:style w:type="paragraph" w:customStyle="1" w:styleId="SHTitle">
    <w:name w:val="SH Title"/>
    <w:basedOn w:val="Normale"/>
    <w:rsid w:val="00025D1B"/>
    <w:pPr>
      <w:spacing w:before="600" w:after="240" w:line="240" w:lineRule="auto"/>
      <w:jc w:val="center"/>
    </w:pPr>
    <w:rPr>
      <w:rFonts w:ascii="Times New Roman" w:eastAsia="Times New Roman" w:hAnsi="Times New Roman" w:cs="Times New Roman"/>
      <w:b/>
      <w:sz w:val="28"/>
      <w:szCs w:val="24"/>
      <w:lang w:val="en-GB" w:eastAsia="pl-PL"/>
    </w:rPr>
  </w:style>
  <w:style w:type="paragraph" w:customStyle="1" w:styleId="SHEquation">
    <w:name w:val="SH Equation"/>
    <w:basedOn w:val="Normale"/>
    <w:rsid w:val="00025D1B"/>
    <w:pPr>
      <w:tabs>
        <w:tab w:val="right" w:pos="7598"/>
      </w:tabs>
      <w:spacing w:before="120" w:after="0" w:line="240" w:lineRule="auto"/>
      <w:ind w:firstLine="851"/>
    </w:pPr>
    <w:rPr>
      <w:rFonts w:ascii="Times New Roman" w:eastAsia="Times New Roman" w:hAnsi="Times New Roman" w:cs="Times New Roman"/>
      <w:szCs w:val="20"/>
      <w:lang w:eastAsia="pl-PL"/>
    </w:rPr>
  </w:style>
  <w:style w:type="paragraph" w:customStyle="1" w:styleId="SHFigurecaption">
    <w:name w:val="SH Figure caption"/>
    <w:basedOn w:val="SHAbstract-text-noindent"/>
    <w:next w:val="Normale"/>
    <w:rsid w:val="00025D1B"/>
    <w:pPr>
      <w:spacing w:after="120"/>
      <w:jc w:val="center"/>
    </w:pPr>
    <w:rPr>
      <w:sz w:val="17"/>
    </w:rPr>
  </w:style>
  <w:style w:type="paragraph" w:customStyle="1" w:styleId="SHHeader">
    <w:name w:val="SH Header"/>
    <w:basedOn w:val="Normale"/>
    <w:rsid w:val="00025D1B"/>
    <w:pPr>
      <w:spacing w:after="0" w:line="240" w:lineRule="auto"/>
      <w:jc w:val="center"/>
    </w:pPr>
    <w:rPr>
      <w:rFonts w:ascii="Verdana" w:eastAsia="Times New Roman" w:hAnsi="Verdana" w:cs="Times New Roman"/>
      <w:sz w:val="20"/>
      <w:szCs w:val="24"/>
      <w:lang w:eastAsia="pl-PL"/>
    </w:rPr>
  </w:style>
  <w:style w:type="paragraph" w:customStyle="1" w:styleId="SHInstitute">
    <w:name w:val="SH Institute"/>
    <w:basedOn w:val="SHAuthor"/>
    <w:rsid w:val="00025D1B"/>
    <w:pPr>
      <w:spacing w:before="120" w:after="0"/>
    </w:pPr>
  </w:style>
  <w:style w:type="paragraph" w:customStyle="1" w:styleId="SHAbstract-text-noindent">
    <w:name w:val="SH Abstract-text-noindent"/>
    <w:basedOn w:val="Normale"/>
    <w:next w:val="Normale"/>
    <w:qFormat/>
    <w:rsid w:val="009A7FD6"/>
    <w:pPr>
      <w:spacing w:after="0" w:line="240" w:lineRule="auto"/>
      <w:jc w:val="both"/>
    </w:pPr>
    <w:rPr>
      <w:rFonts w:ascii="Times New Roman" w:eastAsia="Times New Roman" w:hAnsi="Times New Roman" w:cs="Times New Roman"/>
      <w:sz w:val="20"/>
      <w:szCs w:val="20"/>
      <w:lang w:eastAsia="pl-PL"/>
    </w:rPr>
  </w:style>
  <w:style w:type="paragraph" w:styleId="Testofumetto">
    <w:name w:val="Balloon Text"/>
    <w:basedOn w:val="Normale"/>
    <w:link w:val="TestofumettoCarattere"/>
    <w:uiPriority w:val="99"/>
    <w:semiHidden/>
    <w:unhideWhenUsed/>
    <w:rsid w:val="00025D1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5D1B"/>
    <w:rPr>
      <w:rFonts w:ascii="Segoe UI" w:hAnsi="Segoe UI" w:cs="Segoe UI"/>
      <w:sz w:val="18"/>
      <w:szCs w:val="18"/>
    </w:rPr>
  </w:style>
  <w:style w:type="paragraph" w:customStyle="1" w:styleId="SHNoindenttext">
    <w:name w:val="SH No indent text"/>
    <w:basedOn w:val="Normale"/>
    <w:next w:val="SHIndenttext"/>
    <w:rsid w:val="00297079"/>
    <w:pPr>
      <w:tabs>
        <w:tab w:val="left" w:pos="567"/>
        <w:tab w:val="left" w:pos="1843"/>
      </w:tabs>
      <w:spacing w:before="120" w:after="0" w:line="240" w:lineRule="auto"/>
      <w:jc w:val="both"/>
    </w:pPr>
    <w:rPr>
      <w:rFonts w:ascii="Times New Roman" w:eastAsia="Times New Roman" w:hAnsi="Times New Roman" w:cs="Times New Roman"/>
      <w:szCs w:val="20"/>
      <w:lang w:eastAsia="pl-PL"/>
    </w:rPr>
  </w:style>
  <w:style w:type="paragraph" w:customStyle="1" w:styleId="SHIndenttext">
    <w:name w:val="SH Indent text"/>
    <w:basedOn w:val="Normale"/>
    <w:rsid w:val="00297079"/>
    <w:pPr>
      <w:spacing w:before="120" w:after="0" w:line="240" w:lineRule="auto"/>
      <w:ind w:firstLine="567"/>
      <w:jc w:val="both"/>
    </w:pPr>
    <w:rPr>
      <w:rFonts w:ascii="Times New Roman" w:eastAsia="Times New Roman" w:hAnsi="Times New Roman" w:cs="Times New Roman"/>
      <w:szCs w:val="20"/>
      <w:lang w:eastAsia="pl-PL"/>
    </w:rPr>
  </w:style>
  <w:style w:type="paragraph" w:customStyle="1" w:styleId="SHTableno">
    <w:name w:val="SH Table no"/>
    <w:basedOn w:val="SHIndenttext"/>
    <w:next w:val="SHTabletitle"/>
    <w:rsid w:val="00440BBE"/>
    <w:pPr>
      <w:widowControl w:val="0"/>
      <w:ind w:firstLine="0"/>
      <w:jc w:val="center"/>
    </w:pPr>
    <w:rPr>
      <w:rFonts w:eastAsia="MS Mincho"/>
      <w:sz w:val="20"/>
    </w:rPr>
  </w:style>
  <w:style w:type="paragraph" w:customStyle="1" w:styleId="SHTabletitle">
    <w:name w:val="SH Table title"/>
    <w:basedOn w:val="SHTableno"/>
    <w:rsid w:val="00297079"/>
    <w:pPr>
      <w:spacing w:before="0"/>
    </w:pPr>
  </w:style>
  <w:style w:type="paragraph" w:customStyle="1" w:styleId="SHTabletext">
    <w:name w:val="SH Table text"/>
    <w:basedOn w:val="SHTabletitle"/>
    <w:rsid w:val="00297079"/>
  </w:style>
  <w:style w:type="character" w:styleId="Collegamentoipertestuale">
    <w:name w:val="Hyperlink"/>
    <w:basedOn w:val="Carpredefinitoparagrafo"/>
    <w:uiPriority w:val="99"/>
    <w:unhideWhenUsed/>
    <w:rsid w:val="0041327C"/>
    <w:rPr>
      <w:color w:val="0563C1" w:themeColor="hyperlink"/>
      <w:u w:val="single"/>
    </w:rPr>
  </w:style>
  <w:style w:type="character" w:customStyle="1" w:styleId="Nierozpoznanawzmianka1">
    <w:name w:val="Nierozpoznana wzmianka1"/>
    <w:basedOn w:val="Carpredefinitoparagrafo"/>
    <w:uiPriority w:val="99"/>
    <w:semiHidden/>
    <w:unhideWhenUsed/>
    <w:rsid w:val="0041327C"/>
    <w:rPr>
      <w:color w:val="605E5C"/>
      <w:shd w:val="clear" w:color="auto" w:fill="E1DFDD"/>
    </w:rPr>
  </w:style>
  <w:style w:type="paragraph" w:customStyle="1" w:styleId="IAHRheader">
    <w:name w:val="IAHR_header"/>
    <w:basedOn w:val="SHHeader"/>
    <w:autoRedefine/>
    <w:qFormat/>
    <w:rsid w:val="004D087A"/>
    <w:rPr>
      <w:rFonts w:ascii="Times New Roman" w:eastAsia="MS Mincho" w:hAnsi="Times New Roman"/>
      <w:lang w:val="en-GB"/>
    </w:rPr>
  </w:style>
  <w:style w:type="paragraph" w:customStyle="1" w:styleId="IAHRtitle">
    <w:name w:val="IAHR_title"/>
    <w:basedOn w:val="SHTitle"/>
    <w:qFormat/>
    <w:rsid w:val="007F0685"/>
  </w:style>
  <w:style w:type="paragraph" w:customStyle="1" w:styleId="IAHRauthor">
    <w:name w:val="IAHR_author"/>
    <w:basedOn w:val="SHAuthor"/>
    <w:autoRedefine/>
    <w:qFormat/>
    <w:rsid w:val="0077701C"/>
    <w:rPr>
      <w:lang w:val="en-GB"/>
    </w:rPr>
  </w:style>
  <w:style w:type="paragraph" w:customStyle="1" w:styleId="IAHRaffiliation">
    <w:name w:val="IAHR_affiliation"/>
    <w:next w:val="Testonormale"/>
    <w:qFormat/>
    <w:rsid w:val="00EB5192"/>
    <w:pPr>
      <w:spacing w:after="0"/>
      <w:jc w:val="center"/>
    </w:pPr>
    <w:rPr>
      <w:rFonts w:ascii="Times New Roman" w:eastAsia="Times New Roman" w:hAnsi="Times New Roman" w:cs="Times New Roman"/>
      <w:iCs/>
      <w:sz w:val="20"/>
      <w:szCs w:val="20"/>
      <w:lang w:val="en-GB" w:eastAsia="pl-PL"/>
    </w:rPr>
  </w:style>
  <w:style w:type="paragraph" w:customStyle="1" w:styleId="IAHRabstract">
    <w:name w:val="IAHR_abstract"/>
    <w:basedOn w:val="Normale"/>
    <w:autoRedefine/>
    <w:qFormat/>
    <w:rsid w:val="0077701C"/>
    <w:pPr>
      <w:spacing w:before="480" w:after="120" w:line="240" w:lineRule="auto"/>
      <w:jc w:val="center"/>
    </w:pPr>
    <w:rPr>
      <w:rFonts w:ascii="Times New Roman" w:eastAsia="Times New Roman" w:hAnsi="Times New Roman" w:cs="Times New Roman"/>
      <w:iCs/>
      <w:caps/>
      <w:lang w:eastAsia="pl-PL"/>
    </w:rPr>
  </w:style>
  <w:style w:type="paragraph" w:styleId="Testonormale">
    <w:name w:val="Plain Text"/>
    <w:basedOn w:val="Normale"/>
    <w:link w:val="TestonormaleCarattere"/>
    <w:uiPriority w:val="99"/>
    <w:semiHidden/>
    <w:unhideWhenUsed/>
    <w:rsid w:val="00570697"/>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570697"/>
    <w:rPr>
      <w:rFonts w:ascii="Consolas" w:hAnsi="Consolas"/>
      <w:sz w:val="21"/>
      <w:szCs w:val="21"/>
    </w:rPr>
  </w:style>
  <w:style w:type="paragraph" w:customStyle="1" w:styleId="IAHRaddress">
    <w:name w:val="IAHR_address"/>
    <w:basedOn w:val="IAHRaffiliation"/>
    <w:autoRedefine/>
    <w:qFormat/>
    <w:rsid w:val="00CF7F11"/>
    <w:pPr>
      <w:spacing w:after="120"/>
    </w:pPr>
  </w:style>
  <w:style w:type="paragraph" w:customStyle="1" w:styleId="Styl1">
    <w:name w:val="Styl1"/>
    <w:basedOn w:val="IAHRaddress"/>
    <w:qFormat/>
    <w:rsid w:val="00926EE1"/>
    <w:pPr>
      <w:spacing w:after="0"/>
    </w:pPr>
  </w:style>
  <w:style w:type="paragraph" w:customStyle="1" w:styleId="IAHRtext">
    <w:name w:val="IAHR_text"/>
    <w:basedOn w:val="SHAbstract-text-noindent"/>
    <w:qFormat/>
    <w:rsid w:val="005C3DF9"/>
    <w:pPr>
      <w:spacing w:before="120"/>
    </w:pPr>
    <w:rPr>
      <w:sz w:val="22"/>
      <w:szCs w:val="22"/>
    </w:rPr>
  </w:style>
  <w:style w:type="paragraph" w:customStyle="1" w:styleId="IAHRfigurecaptio">
    <w:name w:val="IAHR_figure_captio"/>
    <w:basedOn w:val="SHFigurecaption"/>
    <w:autoRedefine/>
    <w:qFormat/>
    <w:rsid w:val="005010BE"/>
    <w:pPr>
      <w:spacing w:before="60" w:after="0"/>
    </w:pPr>
    <w:rPr>
      <w:lang w:val="en-GB"/>
    </w:rPr>
  </w:style>
  <w:style w:type="paragraph" w:customStyle="1" w:styleId="IAHRequation">
    <w:name w:val="IAHR_equation"/>
    <w:basedOn w:val="SHEquation"/>
    <w:qFormat/>
    <w:rsid w:val="00372B69"/>
  </w:style>
  <w:style w:type="paragraph" w:customStyle="1" w:styleId="IAHRequationcaption">
    <w:name w:val="IAHR_equation_caption"/>
    <w:basedOn w:val="SHAbstract-text-noindent"/>
    <w:autoRedefine/>
    <w:qFormat/>
    <w:rsid w:val="00577C89"/>
    <w:pPr>
      <w:spacing w:before="60"/>
    </w:pPr>
  </w:style>
  <w:style w:type="paragraph" w:customStyle="1" w:styleId="IAHRheading1">
    <w:name w:val="IAHR_heading1"/>
    <w:basedOn w:val="SHNoindenttext"/>
    <w:autoRedefine/>
    <w:qFormat/>
    <w:rsid w:val="0028799E"/>
    <w:pPr>
      <w:numPr>
        <w:numId w:val="1"/>
      </w:numPr>
    </w:pPr>
    <w:rPr>
      <w:b/>
      <w:szCs w:val="22"/>
    </w:rPr>
  </w:style>
  <w:style w:type="paragraph" w:customStyle="1" w:styleId="IAHR-heading2">
    <w:name w:val="IAHR-heading2"/>
    <w:basedOn w:val="SHIndenttext"/>
    <w:autoRedefine/>
    <w:qFormat/>
    <w:rsid w:val="00210101"/>
    <w:pPr>
      <w:numPr>
        <w:ilvl w:val="1"/>
        <w:numId w:val="1"/>
      </w:numPr>
      <w:ind w:left="431" w:hanging="431"/>
    </w:pPr>
    <w:rPr>
      <w:i/>
      <w:szCs w:val="22"/>
    </w:rPr>
  </w:style>
  <w:style w:type="paragraph" w:customStyle="1" w:styleId="IAHRindenttext">
    <w:name w:val="IAHR_indent_text"/>
    <w:basedOn w:val="SHIndenttext"/>
    <w:autoRedefine/>
    <w:qFormat/>
    <w:rsid w:val="00210101"/>
    <w:pPr>
      <w:ind w:left="792" w:firstLine="0"/>
    </w:pPr>
    <w:rPr>
      <w:szCs w:val="22"/>
    </w:rPr>
  </w:style>
  <w:style w:type="paragraph" w:customStyle="1" w:styleId="IAHRtableno">
    <w:name w:val="IAHR_table_no"/>
    <w:basedOn w:val="SHTableno"/>
    <w:autoRedefine/>
    <w:qFormat/>
    <w:rsid w:val="00EF044F"/>
    <w:pPr>
      <w:spacing w:before="0"/>
    </w:pPr>
    <w:rPr>
      <w:sz w:val="18"/>
      <w:szCs w:val="18"/>
    </w:rPr>
  </w:style>
  <w:style w:type="paragraph" w:customStyle="1" w:styleId="Styl2">
    <w:name w:val="Styl2"/>
    <w:basedOn w:val="IAHRtableno"/>
    <w:qFormat/>
    <w:rsid w:val="00AC1045"/>
  </w:style>
  <w:style w:type="paragraph" w:customStyle="1" w:styleId="IAHRtabletitle">
    <w:name w:val="IAHR_table_title"/>
    <w:basedOn w:val="Styl2"/>
    <w:autoRedefine/>
    <w:qFormat/>
    <w:rsid w:val="00440BBE"/>
    <w:pPr>
      <w:tabs>
        <w:tab w:val="left" w:pos="5670"/>
      </w:tabs>
      <w:spacing w:after="120"/>
    </w:pPr>
  </w:style>
  <w:style w:type="paragraph" w:customStyle="1" w:styleId="IAHRtabletext">
    <w:name w:val="IAHR_table_text"/>
    <w:basedOn w:val="SHTabletext"/>
    <w:autoRedefine/>
    <w:qFormat/>
    <w:rsid w:val="00577C89"/>
    <w:rPr>
      <w:sz w:val="18"/>
      <w:szCs w:val="18"/>
    </w:rPr>
  </w:style>
  <w:style w:type="paragraph" w:customStyle="1" w:styleId="IAHRreferences">
    <w:name w:val="IAHR_references"/>
    <w:basedOn w:val="IAHRtext"/>
    <w:autoRedefine/>
    <w:qFormat/>
    <w:rsid w:val="009C1838"/>
    <w:pPr>
      <w:spacing w:before="0"/>
      <w:contextualSpacing/>
    </w:pPr>
    <w:rPr>
      <w:sz w:val="18"/>
      <w:szCs w:val="18"/>
      <w:shd w:val="clear" w:color="auto" w:fill="FFFFFF"/>
      <w:lang w:val="en-GB"/>
    </w:rPr>
  </w:style>
  <w:style w:type="paragraph" w:customStyle="1" w:styleId="Styl3">
    <w:name w:val="Styl3"/>
    <w:basedOn w:val="IAHRreferences"/>
    <w:qFormat/>
    <w:rsid w:val="00FA1EE9"/>
    <w:rPr>
      <w:i/>
    </w:rPr>
  </w:style>
  <w:style w:type="paragraph" w:customStyle="1" w:styleId="Styl4">
    <w:name w:val="Styl4"/>
    <w:basedOn w:val="SHTableno"/>
    <w:qFormat/>
    <w:rsid w:val="001E674F"/>
  </w:style>
  <w:style w:type="paragraph" w:customStyle="1" w:styleId="IAHRfigure">
    <w:name w:val="IAHR_figure"/>
    <w:basedOn w:val="IAHRtext"/>
    <w:qFormat/>
    <w:rsid w:val="00A71EEA"/>
    <w:pPr>
      <w:jc w:val="center"/>
    </w:pPr>
    <w:rPr>
      <w:noProof/>
    </w:rPr>
  </w:style>
  <w:style w:type="paragraph" w:customStyle="1" w:styleId="IAHRackntitle">
    <w:name w:val="IAHR_ackn_title"/>
    <w:basedOn w:val="IAHRtext"/>
    <w:qFormat/>
    <w:rsid w:val="0002663F"/>
    <w:pPr>
      <w:jc w:val="left"/>
    </w:pPr>
    <w:rPr>
      <w:b/>
    </w:rPr>
  </w:style>
  <w:style w:type="paragraph" w:customStyle="1" w:styleId="IAHRackntext">
    <w:name w:val="IAHR_ackn_text"/>
    <w:basedOn w:val="IAHRtext"/>
    <w:qFormat/>
    <w:rsid w:val="0002663F"/>
  </w:style>
  <w:style w:type="paragraph" w:customStyle="1" w:styleId="IAHRreferencestitle">
    <w:name w:val="IAHR_references_title"/>
    <w:basedOn w:val="IAHRreferences"/>
    <w:next w:val="IAHRreferences"/>
    <w:autoRedefine/>
    <w:qFormat/>
    <w:rsid w:val="005823B8"/>
    <w:pPr>
      <w:spacing w:before="120" w:after="120"/>
      <w:jc w:val="left"/>
    </w:pPr>
    <w:rPr>
      <w:b/>
    </w:rPr>
  </w:style>
  <w:style w:type="paragraph" w:customStyle="1" w:styleId="p1a">
    <w:name w:val="p1a"/>
    <w:basedOn w:val="Normale"/>
    <w:next w:val="Normale"/>
    <w:rsid w:val="00BA6B56"/>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eastAsia="de-DE"/>
    </w:rPr>
  </w:style>
  <w:style w:type="paragraph" w:styleId="Sommario3">
    <w:name w:val="toc 3"/>
    <w:basedOn w:val="Sommario1"/>
    <w:semiHidden/>
    <w:rsid w:val="00BA6B56"/>
    <w:pPr>
      <w:tabs>
        <w:tab w:val="right" w:leader="dot" w:pos="6634"/>
      </w:tabs>
      <w:overflowPunct w:val="0"/>
      <w:autoSpaceDE w:val="0"/>
      <w:autoSpaceDN w:val="0"/>
      <w:adjustRightInd w:val="0"/>
      <w:spacing w:after="0" w:line="240" w:lineRule="atLeast"/>
      <w:ind w:left="510"/>
      <w:textAlignment w:val="baseline"/>
    </w:pPr>
    <w:rPr>
      <w:rFonts w:ascii="Times" w:eastAsia="Times New Roman" w:hAnsi="Times" w:cs="Times New Roman"/>
      <w:sz w:val="20"/>
      <w:szCs w:val="20"/>
      <w:lang w:eastAsia="de-DE"/>
    </w:rPr>
  </w:style>
  <w:style w:type="paragraph" w:styleId="Sommario1">
    <w:name w:val="toc 1"/>
    <w:basedOn w:val="Normale"/>
    <w:next w:val="Normale"/>
    <w:autoRedefine/>
    <w:uiPriority w:val="39"/>
    <w:semiHidden/>
    <w:unhideWhenUsed/>
    <w:rsid w:val="00BA6B56"/>
    <w:pPr>
      <w:spacing w:after="100"/>
    </w:pPr>
  </w:style>
  <w:style w:type="paragraph" w:customStyle="1" w:styleId="BulletItem">
    <w:name w:val="Bullet Item"/>
    <w:basedOn w:val="Normale"/>
    <w:rsid w:val="00360073"/>
    <w:pPr>
      <w:numPr>
        <w:numId w:val="2"/>
      </w:numPr>
      <w:overflowPunct w:val="0"/>
      <w:autoSpaceDE w:val="0"/>
      <w:autoSpaceDN w:val="0"/>
      <w:adjustRightInd w:val="0"/>
      <w:spacing w:before="120" w:after="120" w:line="240" w:lineRule="atLeast"/>
      <w:contextualSpacing/>
      <w:jc w:val="both"/>
      <w:textAlignment w:val="baseline"/>
    </w:pPr>
    <w:rPr>
      <w:rFonts w:ascii="Times" w:eastAsia="Times New Roman" w:hAnsi="Times" w:cs="Times New Roman"/>
      <w:sz w:val="20"/>
      <w:szCs w:val="20"/>
      <w:lang w:eastAsia="de-DE"/>
    </w:rPr>
  </w:style>
  <w:style w:type="character" w:styleId="Rimandocommento">
    <w:name w:val="annotation reference"/>
    <w:basedOn w:val="Carpredefinitoparagrafo"/>
    <w:uiPriority w:val="99"/>
    <w:semiHidden/>
    <w:unhideWhenUsed/>
    <w:rsid w:val="009A5AD4"/>
    <w:rPr>
      <w:sz w:val="16"/>
      <w:szCs w:val="16"/>
    </w:rPr>
  </w:style>
  <w:style w:type="paragraph" w:styleId="Testocommento">
    <w:name w:val="annotation text"/>
    <w:basedOn w:val="Normale"/>
    <w:link w:val="TestocommentoCarattere"/>
    <w:uiPriority w:val="99"/>
    <w:semiHidden/>
    <w:unhideWhenUsed/>
    <w:rsid w:val="009A5AD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AD4"/>
    <w:rPr>
      <w:sz w:val="20"/>
      <w:szCs w:val="20"/>
    </w:rPr>
  </w:style>
  <w:style w:type="paragraph" w:styleId="Soggettocommento">
    <w:name w:val="annotation subject"/>
    <w:basedOn w:val="Testocommento"/>
    <w:next w:val="Testocommento"/>
    <w:link w:val="SoggettocommentoCarattere"/>
    <w:uiPriority w:val="99"/>
    <w:semiHidden/>
    <w:unhideWhenUsed/>
    <w:rsid w:val="009A5AD4"/>
    <w:rPr>
      <w:b/>
      <w:bCs/>
    </w:rPr>
  </w:style>
  <w:style w:type="character" w:customStyle="1" w:styleId="SoggettocommentoCarattere">
    <w:name w:val="Soggetto commento Carattere"/>
    <w:basedOn w:val="TestocommentoCarattere"/>
    <w:link w:val="Soggettocommento"/>
    <w:uiPriority w:val="99"/>
    <w:semiHidden/>
    <w:rsid w:val="009A5AD4"/>
    <w:rPr>
      <w:b/>
      <w:bCs/>
      <w:sz w:val="20"/>
      <w:szCs w:val="20"/>
    </w:rPr>
  </w:style>
  <w:style w:type="paragraph" w:styleId="Paragrafoelenco">
    <w:name w:val="List Paragraph"/>
    <w:basedOn w:val="Normale"/>
    <w:uiPriority w:val="34"/>
    <w:qFormat/>
    <w:rsid w:val="008137CF"/>
    <w:pPr>
      <w:ind w:left="720"/>
      <w:contextualSpacing/>
    </w:pPr>
  </w:style>
  <w:style w:type="table" w:styleId="Grigliatabella">
    <w:name w:val="Table Grid"/>
    <w:basedOn w:val="Tabellanormale"/>
    <w:uiPriority w:val="39"/>
    <w:rsid w:val="005823B8"/>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paragraph" w:styleId="Revisione">
    <w:name w:val="Revision"/>
    <w:hidden/>
    <w:uiPriority w:val="99"/>
    <w:semiHidden/>
    <w:rsid w:val="0028799E"/>
    <w:pPr>
      <w:spacing w:after="0" w:line="240" w:lineRule="auto"/>
    </w:pPr>
  </w:style>
  <w:style w:type="character" w:styleId="Menzionenonrisolta">
    <w:name w:val="Unresolved Mention"/>
    <w:basedOn w:val="Carpredefinitoparagrafo"/>
    <w:uiPriority w:val="99"/>
    <w:semiHidden/>
    <w:unhideWhenUsed/>
    <w:rsid w:val="00C31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affaele.giordano@cnr.it" TargetMode="External"/><Relationship Id="rId18" Type="http://schemas.openxmlformats.org/officeDocument/2006/relationships/hyperlink" Target="mailto:gulay.onusluel@deu.edu.tr"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mailto:manuelbm@ecoadapta.org"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alessandro.pagano@cnr.it" TargetMode="External"/><Relationship Id="rId17" Type="http://schemas.openxmlformats.org/officeDocument/2006/relationships/hyperlink" Target="mailto:cem.cetinkaya@deu.edu.tr" TargetMode="External"/><Relationship Id="rId25" Type="http://schemas.microsoft.com/office/2016/09/relationships/commentsIds" Target="commentsIds.xml"/><Relationship Id="rId33" Type="http://schemas.openxmlformats.org/officeDocument/2006/relationships/hyperlink" Target="https://unesdoc.unesco.org/ark:/48223/pf0000371562" TargetMode="External"/><Relationship Id="rId2" Type="http://schemas.openxmlformats.org/officeDocument/2006/relationships/customXml" Target="../customXml/item2.xml"/><Relationship Id="rId16" Type="http://schemas.openxmlformats.org/officeDocument/2006/relationships/hyperlink" Target="mailto:sefanur.yesilyurt@deu.edu.tr" TargetMode="External"/><Relationship Id="rId20" Type="http://schemas.openxmlformats.org/officeDocument/2006/relationships/hyperlink" Target="mailto:estrellalm@ecoadapta.org"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c.panciera@phd.poliba.it" TargetMode="External"/><Relationship Id="rId24" Type="http://schemas.microsoft.com/office/2011/relationships/commentsExtended" Target="commentsExtended.xml"/><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mailto:mert.gunacti@deu.edu.tr" TargetMode="External"/><Relationship Id="rId23" Type="http://schemas.openxmlformats.org/officeDocument/2006/relationships/comments" Target="comments.xm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eng.mhmd.najar@gmail.com"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van.portoghese@cnr.it" TargetMode="External"/><Relationship Id="rId22" Type="http://schemas.openxmlformats.org/officeDocument/2006/relationships/hyperlink" Target="http://www.hec.usace.army.mil/software/hec-hms" TargetMode="External"/><Relationship Id="rId27" Type="http://schemas.openxmlformats.org/officeDocument/2006/relationships/image" Target="media/image2.png"/><Relationship Id="rId30" Type="http://schemas.openxmlformats.org/officeDocument/2006/relationships/image" Target="media/image5.png"/><Relationship Id="rId35" Type="http://schemas.microsoft.com/office/2011/relationships/people" Target="peop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331daec-6e7a-4478-ad35-a27209203dd8" xsi:nil="true"/>
    <lcf76f155ced4ddcb4097134ff3c332f xmlns="0db03753-6f0b-4e1d-9bcc-9fac9949158a">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7o/05XAzN1XKdnIF3Rj7phyqg==">CgMxLjAyCGguZ2pkZ3hzOAByITEtNzY1ZEFjYldTVl9QRVdZbnBTbTVHc0g1ODJCeG9ZXw==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1C0F4BD402C0444AB1C8C1D6D9BF66FA" ma:contentTypeVersion="11" ma:contentTypeDescription="Creare un nuovo documento." ma:contentTypeScope="" ma:versionID="3ac6c0757c2d9d9eebc1b8e2d112feba">
  <xsd:schema xmlns:xsd="http://www.w3.org/2001/XMLSchema" xmlns:xs="http://www.w3.org/2001/XMLSchema" xmlns:p="http://schemas.microsoft.com/office/2006/metadata/properties" xmlns:ns2="0db03753-6f0b-4e1d-9bcc-9fac9949158a" xmlns:ns3="e331daec-6e7a-4478-ad35-a27209203dd8" targetNamespace="http://schemas.microsoft.com/office/2006/metadata/properties" ma:root="true" ma:fieldsID="ea2f5d93d96d32903a25e2c229284268" ns2:_="" ns3:_="">
    <xsd:import namespace="0db03753-6f0b-4e1d-9bcc-9fac9949158a"/>
    <xsd:import namespace="e331daec-6e7a-4478-ad35-a27209203d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03753-6f0b-4e1d-9bcc-9fac99491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31daec-6e7a-4478-ad35-a27209203d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985087-74f0-49b1-95cd-d9bd07f6b286}" ma:internalName="TaxCatchAll" ma:showField="CatchAllData" ma:web="e331daec-6e7a-4478-ad35-a27209203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284C7-B36E-496A-A0CF-ED695F6FD25B}">
  <ds:schemaRefs>
    <ds:schemaRef ds:uri="http://schemas.microsoft.com/sharepoint/v3/contenttype/forms"/>
  </ds:schemaRefs>
</ds:datastoreItem>
</file>

<file path=customXml/itemProps2.xml><?xml version="1.0" encoding="utf-8"?>
<ds:datastoreItem xmlns:ds="http://schemas.openxmlformats.org/officeDocument/2006/customXml" ds:itemID="{0B5FE8CE-2030-41E9-8302-44A00C734E64}">
  <ds:schemaRefs>
    <ds:schemaRef ds:uri="http://schemas.openxmlformats.org/officeDocument/2006/bibliography"/>
  </ds:schemaRefs>
</ds:datastoreItem>
</file>

<file path=customXml/itemProps3.xml><?xml version="1.0" encoding="utf-8"?>
<ds:datastoreItem xmlns:ds="http://schemas.openxmlformats.org/officeDocument/2006/customXml" ds:itemID="{3A01AC4F-5AFF-454D-B574-3C2D0843E78F}">
  <ds:schemaRefs>
    <ds:schemaRef ds:uri="http://schemas.microsoft.com/office/2006/metadata/properties"/>
    <ds:schemaRef ds:uri="http://schemas.microsoft.com/office/infopath/2007/PartnerControls"/>
    <ds:schemaRef ds:uri="e331daec-6e7a-4478-ad35-a27209203dd8"/>
    <ds:schemaRef ds:uri="0db03753-6f0b-4e1d-9bcc-9fac9949158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C439D26-E1D4-40FD-98F1-DB2182262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03753-6f0b-4e1d-9bcc-9fac9949158a"/>
    <ds:schemaRef ds:uri="e331daec-6e7a-4478-ad35-a27209203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4654</Words>
  <Characters>26531</Characters>
  <Application>Microsoft Office Word</Application>
  <DocSecurity>0</DocSecurity>
  <Lines>221</Lines>
  <Paragraphs>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Kalinowska</dc:creator>
  <cp:lastModifiedBy>IVAN PORTOGHESE</cp:lastModifiedBy>
  <cp:revision>2</cp:revision>
  <dcterms:created xsi:type="dcterms:W3CDTF">2024-04-15T11:14:00Z</dcterms:created>
  <dcterms:modified xsi:type="dcterms:W3CDTF">2024-04-15T11:14:00Z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0x0101001C0F4BD402C0444AB1C8C1D6D9BF66FA</vt:lpwstr>
  </property>
  <property fmtid="{D5CDD505-2E9C-101B-9397-08002B2CF9AE}" pid="3" name="MediaServiceImageTags">
    <vt:lpwstr/>
  </property>
  <property fmtid="{D5CDD505-2E9C-101B-9397-08002B2CF9AE}" pid="4" name="GrammarlyDocumentId">
    <vt:lpwstr>d32eb569dda6e725e258dbc027934a07a8378d9f194036918490789eaa9be72a</vt:lpwstr>
  </property>
</Properties>
</file>